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2EAC2F">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黑龙江八一农垦大学与马来西亚精英大学合作举办数据科学与大数据技术专业本科教育项目可行性报告撰写提纲</w:t>
      </w:r>
    </w:p>
    <w:p w14:paraId="7EA17505">
      <w:pPr>
        <w:rPr>
          <w:rFonts w:hint="eastAsia"/>
          <w:b w:val="0"/>
          <w:bCs w:val="0"/>
        </w:rPr>
      </w:pPr>
    </w:p>
    <w:p w14:paraId="7D5454E7">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黑体" w:hAnsi="黑体" w:eastAsia="黑体" w:cs="黑体"/>
          <w:b w:val="0"/>
          <w:bCs w:val="0"/>
          <w:sz w:val="32"/>
        </w:rPr>
      </w:pPr>
      <w:r>
        <w:rPr>
          <w:rFonts w:hint="eastAsia" w:ascii="黑体" w:hAnsi="黑体" w:eastAsia="黑体" w:cs="黑体"/>
          <w:b w:val="0"/>
          <w:bCs w:val="0"/>
          <w:sz w:val="32"/>
        </w:rPr>
        <w:t>一、报告引言</w:t>
      </w:r>
    </w:p>
    <w:p w14:paraId="6238BE78">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lang w:eastAsia="zh-CN"/>
        </w:rPr>
      </w:pPr>
      <w:r>
        <w:rPr>
          <w:rFonts w:hint="eastAsia" w:ascii="Times New Roman" w:hAnsi="Times New Roman" w:eastAsia="仿宋_GB2312"/>
          <w:b w:val="0"/>
          <w:bCs w:val="0"/>
          <w:sz w:val="32"/>
          <w:lang w:val="en-US" w:eastAsia="zh-CN"/>
        </w:rPr>
        <w:t>1.</w:t>
      </w:r>
      <w:r>
        <w:rPr>
          <w:rFonts w:hint="eastAsia" w:ascii="Times New Roman" w:hAnsi="Times New Roman" w:eastAsia="仿宋_GB2312"/>
          <w:b w:val="0"/>
          <w:bCs w:val="0"/>
          <w:sz w:val="32"/>
        </w:rPr>
        <w:t>核心背景</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rPr>
        <w:t>阐明项目响应教育对外开放政策，旨在加强国际交流、引进优质教育资源、借鉴先进办学理念的核心初衷。</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lang w:val="en-US" w:eastAsia="zh-CN"/>
        </w:rPr>
        <w:t>500字以内</w:t>
      </w:r>
      <w:r>
        <w:rPr>
          <w:rFonts w:hint="eastAsia" w:ascii="Times New Roman" w:hAnsi="Times New Roman" w:eastAsia="仿宋_GB2312"/>
          <w:b w:val="0"/>
          <w:bCs w:val="0"/>
          <w:sz w:val="32"/>
          <w:lang w:eastAsia="zh-CN"/>
        </w:rPr>
        <w:t>）</w:t>
      </w:r>
    </w:p>
    <w:p w14:paraId="31A7063E">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lang w:val="en-US" w:eastAsia="zh-CN"/>
        </w:rPr>
        <w:t>2.</w:t>
      </w:r>
      <w:r>
        <w:rPr>
          <w:rFonts w:hint="eastAsia" w:ascii="Times New Roman" w:hAnsi="Times New Roman" w:eastAsia="仿宋_GB2312"/>
          <w:b w:val="0"/>
          <w:bCs w:val="0"/>
          <w:sz w:val="32"/>
        </w:rPr>
        <w:t>办学目标</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rPr>
        <w:t>阐述项目在提升学校整体教学质量、打造特色专业品牌、构建国际化人才培养体系、培育通晓国际规则的高素质应用型复合人才方面的具体目标。</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lang w:val="en-US" w:eastAsia="zh-CN"/>
        </w:rPr>
        <w:t>500字以内</w:t>
      </w:r>
      <w:r>
        <w:rPr>
          <w:rFonts w:hint="eastAsia" w:ascii="Times New Roman" w:hAnsi="Times New Roman" w:eastAsia="仿宋_GB2312"/>
          <w:b w:val="0"/>
          <w:bCs w:val="0"/>
          <w:sz w:val="32"/>
          <w:lang w:eastAsia="zh-CN"/>
        </w:rPr>
        <w:t>）</w:t>
      </w:r>
    </w:p>
    <w:p w14:paraId="189DE66E">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lang w:val="en-US" w:eastAsia="zh-CN"/>
        </w:rPr>
        <w:t>3.</w:t>
      </w:r>
      <w:r>
        <w:rPr>
          <w:rFonts w:hint="eastAsia" w:ascii="Times New Roman" w:hAnsi="Times New Roman" w:eastAsia="仿宋_GB2312"/>
          <w:b w:val="0"/>
          <w:bCs w:val="0"/>
          <w:sz w:val="32"/>
        </w:rPr>
        <w:t>合作基础</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rPr>
        <w:t>简述我校与马来西亚精英大学前期沟通、论证及已达成的合作意向概况。</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lang w:val="en-US" w:eastAsia="zh-CN"/>
        </w:rPr>
        <w:t>300字以内</w:t>
      </w:r>
      <w:r>
        <w:rPr>
          <w:rFonts w:hint="eastAsia" w:ascii="Times New Roman" w:hAnsi="Times New Roman" w:eastAsia="仿宋_GB2312"/>
          <w:b w:val="0"/>
          <w:bCs w:val="0"/>
          <w:sz w:val="32"/>
          <w:lang w:eastAsia="zh-CN"/>
        </w:rPr>
        <w:t>）</w:t>
      </w:r>
    </w:p>
    <w:p w14:paraId="361A735B">
      <w:pPr>
        <w:keepNext w:val="0"/>
        <w:keepLines w:val="0"/>
        <w:pageBreakBefore w:val="0"/>
        <w:kinsoku/>
        <w:wordWrap/>
        <w:overflowPunct/>
        <w:topLinePunct w:val="0"/>
        <w:autoSpaceDE/>
        <w:autoSpaceDN/>
        <w:bidi w:val="0"/>
        <w:adjustRightInd/>
        <w:snapToGrid/>
        <w:spacing w:beforeAutospacing="0" w:afterAutospacing="0"/>
        <w:ind w:firstLine="643" w:firstLineChars="200"/>
        <w:textAlignment w:val="auto"/>
        <w:rPr>
          <w:rFonts w:hint="eastAsia" w:ascii="Times New Roman" w:hAnsi="Times New Roman" w:eastAsia="仿宋_GB2312"/>
          <w:b/>
          <w:bCs/>
          <w:sz w:val="32"/>
        </w:rPr>
      </w:pPr>
      <w:r>
        <w:rPr>
          <w:rFonts w:hint="eastAsia" w:ascii="Times New Roman" w:hAnsi="Times New Roman" w:eastAsia="仿宋_GB2312"/>
          <w:b/>
          <w:bCs/>
          <w:sz w:val="32"/>
        </w:rPr>
        <w:t>负责单位：国际合作与交流中心</w:t>
      </w:r>
    </w:p>
    <w:p w14:paraId="1E9B2850">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黑体" w:hAnsi="黑体" w:eastAsia="黑体" w:cs="黑体"/>
          <w:b w:val="0"/>
          <w:bCs w:val="0"/>
          <w:sz w:val="32"/>
        </w:rPr>
      </w:pPr>
      <w:r>
        <w:rPr>
          <w:rFonts w:hint="eastAsia" w:ascii="黑体" w:hAnsi="黑体" w:eastAsia="黑体" w:cs="黑体"/>
          <w:b w:val="0"/>
          <w:bCs w:val="0"/>
          <w:sz w:val="32"/>
        </w:rPr>
        <w:t>二、项目合作双方基本情况</w:t>
      </w:r>
    </w:p>
    <w:p w14:paraId="2344CBFB">
      <w:pPr>
        <w:keepNext w:val="0"/>
        <w:keepLines w:val="0"/>
        <w:pageBreakBefore w:val="0"/>
        <w:kinsoku/>
        <w:wordWrap/>
        <w:overflowPunct/>
        <w:topLinePunct w:val="0"/>
        <w:autoSpaceDE/>
        <w:autoSpaceDN/>
        <w:bidi w:val="0"/>
        <w:adjustRightInd/>
        <w:snapToGrid/>
        <w:spacing w:beforeAutospacing="0" w:afterAutospacing="0"/>
        <w:ind w:firstLine="643" w:firstLineChars="200"/>
        <w:textAlignment w:val="auto"/>
        <w:rPr>
          <w:rFonts w:hint="eastAsia" w:ascii="楷体" w:hAnsi="楷体" w:eastAsia="楷体" w:cs="楷体"/>
          <w:b/>
          <w:bCs/>
          <w:sz w:val="32"/>
        </w:rPr>
      </w:pPr>
      <w:r>
        <w:rPr>
          <w:rFonts w:hint="eastAsia" w:ascii="楷体" w:hAnsi="楷体" w:eastAsia="楷体" w:cs="楷体"/>
          <w:b/>
          <w:bCs/>
          <w:sz w:val="32"/>
        </w:rPr>
        <w:t>（一）黑龙江八一农垦大学基本情况</w:t>
      </w:r>
    </w:p>
    <w:p w14:paraId="08DF0332">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lang w:val="en-US" w:eastAsia="zh-CN"/>
        </w:rPr>
        <w:t>1.</w:t>
      </w:r>
      <w:r>
        <w:rPr>
          <w:rFonts w:hint="eastAsia" w:ascii="Times New Roman" w:hAnsi="Times New Roman" w:eastAsia="仿宋_GB2312"/>
          <w:b w:val="0"/>
          <w:bCs w:val="0"/>
          <w:sz w:val="32"/>
        </w:rPr>
        <w:t>学校概况</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rPr>
        <w:t>包括创办时间、办学定位、校区规模、学科门类、师生规模、核心办学资质等。</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lang w:val="en-US" w:eastAsia="zh-CN"/>
        </w:rPr>
        <w:t>500字以内</w:t>
      </w:r>
      <w:r>
        <w:rPr>
          <w:rFonts w:hint="eastAsia" w:ascii="Times New Roman" w:hAnsi="Times New Roman" w:eastAsia="仿宋_GB2312"/>
          <w:b w:val="0"/>
          <w:bCs w:val="0"/>
          <w:sz w:val="32"/>
          <w:lang w:eastAsia="zh-CN"/>
        </w:rPr>
        <w:t>）</w:t>
      </w:r>
    </w:p>
    <w:p w14:paraId="3ABAF946">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lang w:val="en-US" w:eastAsia="zh-CN"/>
        </w:rPr>
        <w:t>2.</w:t>
      </w:r>
      <w:r>
        <w:rPr>
          <w:rFonts w:hint="eastAsia" w:ascii="Times New Roman" w:hAnsi="Times New Roman" w:eastAsia="仿宋_GB2312"/>
          <w:b w:val="0"/>
          <w:bCs w:val="0"/>
          <w:sz w:val="32"/>
        </w:rPr>
        <w:t>信息与电气工程学院整体情况</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rPr>
        <w:t>拟合作专业的开设历史、师资队伍（职称、学历、双师型、高层次人才情况）、科研成果（项目、论文、专利）、教学条件（实验室、基地、平台、课程与专业建设成果）、</w:t>
      </w:r>
      <w:bookmarkStart w:id="0" w:name="_GoBack"/>
      <w:bookmarkEnd w:id="0"/>
      <w:r>
        <w:rPr>
          <w:rFonts w:hint="eastAsia" w:ascii="Times New Roman" w:hAnsi="Times New Roman" w:eastAsia="仿宋_GB2312"/>
          <w:b w:val="0"/>
          <w:bCs w:val="0"/>
          <w:sz w:val="32"/>
        </w:rPr>
        <w:t>毕业生就业质量（就业率、就业质量、社会评价）。</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lang w:val="en-US" w:eastAsia="zh-CN"/>
        </w:rPr>
        <w:t>1000字以内</w:t>
      </w:r>
      <w:r>
        <w:rPr>
          <w:rFonts w:hint="eastAsia" w:ascii="Times New Roman" w:hAnsi="Times New Roman" w:eastAsia="仿宋_GB2312"/>
          <w:b w:val="0"/>
          <w:bCs w:val="0"/>
          <w:sz w:val="32"/>
          <w:lang w:eastAsia="zh-CN"/>
        </w:rPr>
        <w:t>）</w:t>
      </w:r>
    </w:p>
    <w:p w14:paraId="74914FB8">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lang w:val="en-US" w:eastAsia="zh-CN"/>
        </w:rPr>
        <w:t>3.</w:t>
      </w:r>
      <w:r>
        <w:rPr>
          <w:rFonts w:hint="eastAsia" w:ascii="Times New Roman" w:hAnsi="Times New Roman" w:eastAsia="仿宋_GB2312"/>
          <w:b w:val="0"/>
          <w:bCs w:val="0"/>
          <w:sz w:val="32"/>
        </w:rPr>
        <w:t>国际合作经验</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rPr>
        <w:t>已有中外合作办学项目、校际交流协议、学生出国（境）交流、外籍教师引进、国际学生培养等情况。</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lang w:val="en-US" w:eastAsia="zh-CN"/>
        </w:rPr>
        <w:t>500字以内</w:t>
      </w:r>
      <w:r>
        <w:rPr>
          <w:rFonts w:hint="eastAsia" w:ascii="Times New Roman" w:hAnsi="Times New Roman" w:eastAsia="仿宋_GB2312"/>
          <w:b w:val="0"/>
          <w:bCs w:val="0"/>
          <w:sz w:val="32"/>
          <w:lang w:eastAsia="zh-CN"/>
        </w:rPr>
        <w:t>）</w:t>
      </w:r>
    </w:p>
    <w:p w14:paraId="62F85507">
      <w:pPr>
        <w:keepNext w:val="0"/>
        <w:keepLines w:val="0"/>
        <w:pageBreakBefore w:val="0"/>
        <w:kinsoku/>
        <w:wordWrap/>
        <w:overflowPunct/>
        <w:topLinePunct w:val="0"/>
        <w:autoSpaceDE/>
        <w:autoSpaceDN/>
        <w:bidi w:val="0"/>
        <w:adjustRightInd/>
        <w:snapToGrid/>
        <w:spacing w:beforeAutospacing="0" w:afterAutospacing="0"/>
        <w:ind w:firstLine="643" w:firstLineChars="200"/>
        <w:textAlignment w:val="auto"/>
        <w:rPr>
          <w:rFonts w:hint="eastAsia" w:ascii="Times New Roman" w:hAnsi="Times New Roman" w:eastAsia="仿宋_GB2312"/>
          <w:b/>
          <w:bCs/>
          <w:sz w:val="32"/>
        </w:rPr>
      </w:pPr>
      <w:r>
        <w:rPr>
          <w:rFonts w:hint="eastAsia" w:ascii="Times New Roman" w:hAnsi="Times New Roman" w:eastAsia="仿宋_GB2312"/>
          <w:b/>
          <w:bCs/>
          <w:sz w:val="32"/>
        </w:rPr>
        <w:t>负责单位：学校办公室（1）、信息与电气工程学院（2）、国际合作与交流中心（3）</w:t>
      </w:r>
    </w:p>
    <w:p w14:paraId="32107BC0">
      <w:pPr>
        <w:keepNext w:val="0"/>
        <w:keepLines w:val="0"/>
        <w:pageBreakBefore w:val="0"/>
        <w:kinsoku/>
        <w:wordWrap/>
        <w:overflowPunct/>
        <w:topLinePunct w:val="0"/>
        <w:autoSpaceDE/>
        <w:autoSpaceDN/>
        <w:bidi w:val="0"/>
        <w:adjustRightInd/>
        <w:snapToGrid/>
        <w:spacing w:beforeAutospacing="0" w:afterAutospacing="0"/>
        <w:ind w:firstLine="643" w:firstLineChars="200"/>
        <w:textAlignment w:val="auto"/>
        <w:rPr>
          <w:rFonts w:hint="eastAsia" w:ascii="楷体" w:hAnsi="楷体" w:eastAsia="楷体" w:cs="楷体"/>
          <w:b/>
          <w:bCs/>
          <w:sz w:val="32"/>
        </w:rPr>
      </w:pPr>
      <w:r>
        <w:rPr>
          <w:rFonts w:hint="eastAsia" w:ascii="楷体" w:hAnsi="楷体" w:eastAsia="楷体" w:cs="楷体"/>
          <w:b/>
          <w:bCs/>
          <w:sz w:val="32"/>
        </w:rPr>
        <w:t>（二）马来西亚精英大学基本情况</w:t>
      </w:r>
    </w:p>
    <w:p w14:paraId="505D50A6">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rPr>
        <w:t>介绍精英大学的总体概况、国际排名与认证、办学优势，并重点阐述其数据科学与大数据技术相关专业的学科实力、课程体系、师资水平、产学研成果及国际声誉。</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lang w:val="en-US" w:eastAsia="zh-CN"/>
        </w:rPr>
        <w:t>1000字以内</w:t>
      </w:r>
      <w:r>
        <w:rPr>
          <w:rFonts w:hint="eastAsia" w:ascii="Times New Roman" w:hAnsi="Times New Roman" w:eastAsia="仿宋_GB2312"/>
          <w:b w:val="0"/>
          <w:bCs w:val="0"/>
          <w:sz w:val="32"/>
          <w:lang w:eastAsia="zh-CN"/>
        </w:rPr>
        <w:t>）</w:t>
      </w:r>
    </w:p>
    <w:p w14:paraId="1E5DCB93">
      <w:pPr>
        <w:keepNext w:val="0"/>
        <w:keepLines w:val="0"/>
        <w:pageBreakBefore w:val="0"/>
        <w:kinsoku/>
        <w:wordWrap/>
        <w:overflowPunct/>
        <w:topLinePunct w:val="0"/>
        <w:autoSpaceDE/>
        <w:autoSpaceDN/>
        <w:bidi w:val="0"/>
        <w:adjustRightInd/>
        <w:snapToGrid/>
        <w:spacing w:beforeAutospacing="0" w:afterAutospacing="0"/>
        <w:ind w:firstLine="643" w:firstLineChars="200"/>
        <w:textAlignment w:val="auto"/>
        <w:rPr>
          <w:rFonts w:hint="eastAsia" w:ascii="Times New Roman" w:hAnsi="Times New Roman" w:eastAsia="仿宋_GB2312"/>
          <w:b/>
          <w:bCs/>
          <w:sz w:val="32"/>
        </w:rPr>
      </w:pPr>
      <w:r>
        <w:rPr>
          <w:rFonts w:hint="eastAsia" w:ascii="Times New Roman" w:hAnsi="Times New Roman" w:eastAsia="仿宋_GB2312"/>
          <w:b/>
          <w:bCs/>
          <w:sz w:val="32"/>
        </w:rPr>
        <w:t>负责单位：国际合作与交流中心</w:t>
      </w:r>
    </w:p>
    <w:p w14:paraId="549122AD">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黑体" w:hAnsi="黑体" w:eastAsia="黑体" w:cs="黑体"/>
          <w:b w:val="0"/>
          <w:bCs w:val="0"/>
          <w:sz w:val="32"/>
        </w:rPr>
      </w:pPr>
      <w:r>
        <w:rPr>
          <w:rFonts w:hint="eastAsia" w:ascii="黑体" w:hAnsi="黑体" w:eastAsia="黑体" w:cs="黑体"/>
          <w:b w:val="0"/>
          <w:bCs w:val="0"/>
          <w:sz w:val="32"/>
        </w:rPr>
        <w:t>三、合作项目基本情况</w:t>
      </w:r>
    </w:p>
    <w:p w14:paraId="028A1CEE">
      <w:pPr>
        <w:keepNext w:val="0"/>
        <w:keepLines w:val="0"/>
        <w:pageBreakBefore w:val="0"/>
        <w:kinsoku/>
        <w:wordWrap/>
        <w:overflowPunct/>
        <w:topLinePunct w:val="0"/>
        <w:autoSpaceDE/>
        <w:autoSpaceDN/>
        <w:bidi w:val="0"/>
        <w:adjustRightInd/>
        <w:snapToGrid/>
        <w:spacing w:beforeAutospacing="0" w:afterAutospacing="0"/>
        <w:ind w:firstLine="643" w:firstLineChars="200"/>
        <w:textAlignment w:val="auto"/>
        <w:rPr>
          <w:rFonts w:hint="eastAsia" w:ascii="楷体" w:hAnsi="楷体" w:eastAsia="楷体" w:cs="楷体"/>
          <w:b/>
          <w:bCs/>
          <w:sz w:val="32"/>
        </w:rPr>
      </w:pPr>
      <w:r>
        <w:rPr>
          <w:rFonts w:hint="eastAsia" w:ascii="楷体" w:hAnsi="楷体" w:eastAsia="楷体" w:cs="楷体"/>
          <w:b/>
          <w:bCs/>
          <w:sz w:val="32"/>
        </w:rPr>
        <w:t>（一）办学宗旨与培养目标</w:t>
      </w:r>
    </w:p>
    <w:p w14:paraId="0792DE2F">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lang w:val="en-US" w:eastAsia="zh-CN"/>
        </w:rPr>
        <w:t>1.</w:t>
      </w:r>
      <w:r>
        <w:rPr>
          <w:rFonts w:hint="eastAsia" w:ascii="Times New Roman" w:hAnsi="Times New Roman" w:eastAsia="仿宋_GB2312"/>
          <w:b w:val="0"/>
          <w:bCs w:val="0"/>
          <w:sz w:val="32"/>
        </w:rPr>
        <w:t>办学宗旨</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rPr>
        <w:t>响应国家战略，秉承“中外融通、优势互补”理念，明确通过引进、融合、创新以推动人才培养模式改革、提升办学国际化水平的核心方向。</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lang w:val="en-US" w:eastAsia="zh-CN"/>
        </w:rPr>
        <w:t>500字以内</w:t>
      </w:r>
      <w:r>
        <w:rPr>
          <w:rFonts w:hint="eastAsia" w:ascii="Times New Roman" w:hAnsi="Times New Roman" w:eastAsia="仿宋_GB2312"/>
          <w:b w:val="0"/>
          <w:bCs w:val="0"/>
          <w:sz w:val="32"/>
          <w:lang w:eastAsia="zh-CN"/>
        </w:rPr>
        <w:t>）</w:t>
      </w:r>
    </w:p>
    <w:p w14:paraId="4A6AA47B">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lang w:val="en-US" w:eastAsia="zh-CN"/>
        </w:rPr>
        <w:t>2.</w:t>
      </w:r>
      <w:r>
        <w:rPr>
          <w:rFonts w:hint="eastAsia" w:ascii="Times New Roman" w:hAnsi="Times New Roman" w:eastAsia="仿宋_GB2312"/>
          <w:b w:val="0"/>
          <w:bCs w:val="0"/>
          <w:sz w:val="32"/>
        </w:rPr>
        <w:t>培养目标</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rPr>
        <w:t>坚持社会主义办学方向，落实立德树人根本任务，明确培养德智体美劳全面发展，具备何种核心能力、知识与国际视野的具体人才</w:t>
      </w:r>
      <w:r>
        <w:rPr>
          <w:rFonts w:hint="eastAsia" w:ascii="Times New Roman" w:hAnsi="Times New Roman" w:eastAsia="仿宋_GB2312"/>
          <w:b w:val="0"/>
          <w:bCs w:val="0"/>
          <w:sz w:val="32"/>
          <w:lang w:val="en-US" w:eastAsia="zh-CN"/>
        </w:rPr>
        <w:t>标准</w:t>
      </w:r>
      <w:r>
        <w:rPr>
          <w:rFonts w:hint="eastAsia" w:ascii="Times New Roman" w:hAnsi="Times New Roman" w:eastAsia="仿宋_GB2312"/>
          <w:b w:val="0"/>
          <w:bCs w:val="0"/>
          <w:sz w:val="32"/>
        </w:rPr>
        <w:t>。</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lang w:val="en-US" w:eastAsia="zh-CN"/>
        </w:rPr>
        <w:t>500字以内</w:t>
      </w:r>
      <w:r>
        <w:rPr>
          <w:rFonts w:hint="eastAsia" w:ascii="Times New Roman" w:hAnsi="Times New Roman" w:eastAsia="仿宋_GB2312"/>
          <w:b w:val="0"/>
          <w:bCs w:val="0"/>
          <w:sz w:val="32"/>
          <w:lang w:eastAsia="zh-CN"/>
        </w:rPr>
        <w:t>）</w:t>
      </w:r>
    </w:p>
    <w:p w14:paraId="206A3597">
      <w:pPr>
        <w:keepNext w:val="0"/>
        <w:keepLines w:val="0"/>
        <w:pageBreakBefore w:val="0"/>
        <w:kinsoku/>
        <w:wordWrap/>
        <w:overflowPunct/>
        <w:topLinePunct w:val="0"/>
        <w:autoSpaceDE/>
        <w:autoSpaceDN/>
        <w:bidi w:val="0"/>
        <w:adjustRightInd/>
        <w:snapToGrid/>
        <w:spacing w:beforeAutospacing="0" w:afterAutospacing="0"/>
        <w:ind w:firstLine="643" w:firstLineChars="200"/>
        <w:textAlignment w:val="auto"/>
        <w:rPr>
          <w:rFonts w:hint="eastAsia" w:ascii="Times New Roman" w:hAnsi="Times New Roman" w:eastAsia="仿宋_GB2312"/>
          <w:b/>
          <w:bCs/>
          <w:sz w:val="32"/>
        </w:rPr>
      </w:pPr>
      <w:r>
        <w:rPr>
          <w:rFonts w:hint="eastAsia" w:ascii="Times New Roman" w:hAnsi="Times New Roman" w:eastAsia="仿宋_GB2312"/>
          <w:b/>
          <w:bCs/>
          <w:sz w:val="32"/>
        </w:rPr>
        <w:t>负责单位：教务处、信息与电气工程学院</w:t>
      </w:r>
    </w:p>
    <w:p w14:paraId="0E575106">
      <w:pPr>
        <w:keepNext w:val="0"/>
        <w:keepLines w:val="0"/>
        <w:pageBreakBefore w:val="0"/>
        <w:kinsoku/>
        <w:wordWrap/>
        <w:overflowPunct/>
        <w:topLinePunct w:val="0"/>
        <w:autoSpaceDE/>
        <w:autoSpaceDN/>
        <w:bidi w:val="0"/>
        <w:adjustRightInd/>
        <w:snapToGrid/>
        <w:spacing w:beforeAutospacing="0" w:afterAutospacing="0"/>
        <w:ind w:firstLine="643" w:firstLineChars="200"/>
        <w:textAlignment w:val="auto"/>
        <w:rPr>
          <w:rFonts w:hint="eastAsia" w:ascii="楷体" w:hAnsi="楷体" w:eastAsia="楷体" w:cs="楷体"/>
          <w:b/>
          <w:bCs/>
          <w:sz w:val="32"/>
        </w:rPr>
      </w:pPr>
      <w:r>
        <w:rPr>
          <w:rFonts w:hint="eastAsia" w:ascii="楷体" w:hAnsi="楷体" w:eastAsia="楷体" w:cs="楷体"/>
          <w:b/>
          <w:bCs/>
          <w:sz w:val="32"/>
        </w:rPr>
        <w:t>（二）项目信息</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lang w:val="en-US" w:eastAsia="zh-CN"/>
        </w:rPr>
        <w:t>300字以内</w:t>
      </w:r>
      <w:r>
        <w:rPr>
          <w:rFonts w:hint="eastAsia" w:ascii="Times New Roman" w:hAnsi="Times New Roman" w:eastAsia="仿宋_GB2312"/>
          <w:b w:val="0"/>
          <w:bCs w:val="0"/>
          <w:sz w:val="32"/>
          <w:lang w:eastAsia="zh-CN"/>
        </w:rPr>
        <w:t>）</w:t>
      </w:r>
    </w:p>
    <w:p w14:paraId="050AC9AC">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lang w:val="en-US" w:eastAsia="zh-CN"/>
        </w:rPr>
        <w:t>1.</w:t>
      </w:r>
      <w:r>
        <w:rPr>
          <w:rFonts w:hint="eastAsia" w:ascii="Times New Roman" w:hAnsi="Times New Roman" w:eastAsia="仿宋_GB2312"/>
          <w:b w:val="0"/>
          <w:bCs w:val="0"/>
          <w:sz w:val="32"/>
        </w:rPr>
        <w:t>项目名称：中外合作办学项目正式名称。</w:t>
      </w:r>
    </w:p>
    <w:p w14:paraId="32D6C694">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lang w:val="en-US" w:eastAsia="zh-CN"/>
        </w:rPr>
        <w:t>2.</w:t>
      </w:r>
      <w:r>
        <w:rPr>
          <w:rFonts w:hint="eastAsia" w:ascii="Times New Roman" w:hAnsi="Times New Roman" w:eastAsia="仿宋_GB2312"/>
          <w:b w:val="0"/>
          <w:bCs w:val="0"/>
          <w:sz w:val="32"/>
        </w:rPr>
        <w:t>办学信息：办学层次（本科）、办学地址、基本学制。</w:t>
      </w:r>
    </w:p>
    <w:p w14:paraId="213E2427">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lang w:val="en-US" w:eastAsia="zh-CN"/>
        </w:rPr>
        <w:t>3.</w:t>
      </w:r>
      <w:r>
        <w:rPr>
          <w:rFonts w:hint="eastAsia" w:ascii="Times New Roman" w:hAnsi="Times New Roman" w:eastAsia="仿宋_GB2312"/>
          <w:b w:val="0"/>
          <w:bCs w:val="0"/>
          <w:sz w:val="32"/>
        </w:rPr>
        <w:t>招生信息：招生方式、对象、录取标准、年度招生计划、在校生最大规模。</w:t>
      </w:r>
    </w:p>
    <w:p w14:paraId="32964148">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lang w:val="en-US" w:eastAsia="zh-CN"/>
        </w:rPr>
        <w:t>4.</w:t>
      </w:r>
      <w:r>
        <w:rPr>
          <w:rFonts w:hint="eastAsia" w:ascii="Times New Roman" w:hAnsi="Times New Roman" w:eastAsia="仿宋_GB2312"/>
          <w:b w:val="0"/>
          <w:bCs w:val="0"/>
          <w:sz w:val="32"/>
        </w:rPr>
        <w:t>培养模式与证书：详细说明培养模式（如“4+0”或“3+1”等）、毕业证书与学位授予办法（中方）、外方学位授予条件及程序（需说明外方学位是否已获其本国相关机构认证），以及对所授学位一致性与认可度的承诺。</w:t>
      </w:r>
    </w:p>
    <w:p w14:paraId="64204011">
      <w:pPr>
        <w:keepNext w:val="0"/>
        <w:keepLines w:val="0"/>
        <w:pageBreakBefore w:val="0"/>
        <w:kinsoku/>
        <w:wordWrap/>
        <w:overflowPunct/>
        <w:topLinePunct w:val="0"/>
        <w:autoSpaceDE/>
        <w:autoSpaceDN/>
        <w:bidi w:val="0"/>
        <w:adjustRightInd/>
        <w:snapToGrid/>
        <w:spacing w:beforeAutospacing="0" w:afterAutospacing="0"/>
        <w:ind w:firstLine="643" w:firstLineChars="200"/>
        <w:textAlignment w:val="auto"/>
        <w:rPr>
          <w:rFonts w:hint="eastAsia" w:ascii="Times New Roman" w:hAnsi="Times New Roman" w:eastAsia="仿宋_GB2312"/>
          <w:b/>
          <w:bCs/>
          <w:sz w:val="32"/>
        </w:rPr>
      </w:pPr>
      <w:r>
        <w:rPr>
          <w:rFonts w:hint="eastAsia" w:ascii="Times New Roman" w:hAnsi="Times New Roman" w:eastAsia="仿宋_GB2312"/>
          <w:b/>
          <w:bCs/>
          <w:sz w:val="32"/>
        </w:rPr>
        <w:t>负责单位：国际合作与交流中心</w:t>
      </w:r>
    </w:p>
    <w:p w14:paraId="6446DFBD">
      <w:pPr>
        <w:keepNext w:val="0"/>
        <w:keepLines w:val="0"/>
        <w:pageBreakBefore w:val="0"/>
        <w:kinsoku/>
        <w:wordWrap/>
        <w:overflowPunct/>
        <w:topLinePunct w:val="0"/>
        <w:autoSpaceDE/>
        <w:autoSpaceDN/>
        <w:bidi w:val="0"/>
        <w:adjustRightInd/>
        <w:snapToGrid/>
        <w:spacing w:beforeAutospacing="0" w:afterAutospacing="0"/>
        <w:ind w:firstLine="643" w:firstLineChars="200"/>
        <w:textAlignment w:val="auto"/>
        <w:rPr>
          <w:rFonts w:hint="eastAsia" w:ascii="楷体" w:hAnsi="楷体" w:eastAsia="楷体" w:cs="楷体"/>
          <w:b/>
          <w:bCs/>
          <w:sz w:val="32"/>
        </w:rPr>
      </w:pPr>
      <w:r>
        <w:rPr>
          <w:rFonts w:hint="eastAsia" w:ascii="楷体" w:hAnsi="楷体" w:eastAsia="楷体" w:cs="楷体"/>
          <w:b/>
          <w:bCs/>
          <w:sz w:val="32"/>
        </w:rPr>
        <w:t>（三）教育教学安排</w:t>
      </w:r>
    </w:p>
    <w:p w14:paraId="630D1BCD">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lang w:val="en-US" w:eastAsia="zh-CN"/>
        </w:rPr>
        <w:t>1.</w:t>
      </w:r>
      <w:r>
        <w:rPr>
          <w:rFonts w:hint="eastAsia" w:ascii="Times New Roman" w:hAnsi="Times New Roman" w:eastAsia="仿宋_GB2312"/>
          <w:b w:val="0"/>
          <w:bCs w:val="0"/>
          <w:sz w:val="32"/>
        </w:rPr>
        <w:t>核心要求</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rPr>
        <w:t>落实教育部“四个三分之一”要求，明确外方课程、核心课程、教师及教学时数占比。提供核心课程列表，说明授课语言。阐述思政课程、通识教育、专业课程、实践教学的比例与融合设计。介绍拟采用的教学方法、实践环节及考核方式。</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lang w:val="en-US" w:eastAsia="zh-CN"/>
        </w:rPr>
        <w:t>1000字以内</w:t>
      </w:r>
      <w:r>
        <w:rPr>
          <w:rFonts w:hint="eastAsia" w:ascii="Times New Roman" w:hAnsi="Times New Roman" w:eastAsia="仿宋_GB2312"/>
          <w:b w:val="0"/>
          <w:bCs w:val="0"/>
          <w:sz w:val="32"/>
          <w:lang w:eastAsia="zh-CN"/>
        </w:rPr>
        <w:t>）</w:t>
      </w:r>
    </w:p>
    <w:p w14:paraId="08F9B443">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lang w:val="en-US" w:eastAsia="zh-CN"/>
        </w:rPr>
        <w:t>2.</w:t>
      </w:r>
      <w:r>
        <w:rPr>
          <w:rFonts w:hint="eastAsia" w:ascii="Times New Roman" w:hAnsi="Times New Roman" w:eastAsia="仿宋_GB2312"/>
          <w:b w:val="0"/>
          <w:bCs w:val="0"/>
          <w:sz w:val="32"/>
        </w:rPr>
        <w:t>师资结构</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rPr>
        <w:t>明确中外方教师配备比例、外方教师承担核心课程的门数与课时要求。规定双方教师的资质标准（如外方教师职称与经验要求，中方教师专业与外语能力要求）。</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lang w:val="en-US" w:eastAsia="zh-CN"/>
        </w:rPr>
        <w:t>800字以内</w:t>
      </w:r>
      <w:r>
        <w:rPr>
          <w:rFonts w:hint="eastAsia" w:ascii="Times New Roman" w:hAnsi="Times New Roman" w:eastAsia="仿宋_GB2312"/>
          <w:b w:val="0"/>
          <w:bCs w:val="0"/>
          <w:sz w:val="32"/>
          <w:lang w:eastAsia="zh-CN"/>
        </w:rPr>
        <w:t>）</w:t>
      </w:r>
    </w:p>
    <w:p w14:paraId="2A5F1BAA">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lang w:val="en-US" w:eastAsia="zh-CN"/>
        </w:rPr>
        <w:t>3.</w:t>
      </w:r>
      <w:r>
        <w:rPr>
          <w:rFonts w:hint="eastAsia" w:ascii="Times New Roman" w:hAnsi="Times New Roman" w:eastAsia="仿宋_GB2312"/>
          <w:b w:val="0"/>
          <w:bCs w:val="0"/>
          <w:sz w:val="32"/>
        </w:rPr>
        <w:t>教材与资源</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rPr>
        <w:t>说明教材引进、选用与审核机制，以及双方共同认可的教学资源使用标准。</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lang w:val="en-US" w:eastAsia="zh-CN"/>
        </w:rPr>
        <w:t>300字以内</w:t>
      </w:r>
      <w:r>
        <w:rPr>
          <w:rFonts w:hint="eastAsia" w:ascii="Times New Roman" w:hAnsi="Times New Roman" w:eastAsia="仿宋_GB2312"/>
          <w:b w:val="0"/>
          <w:bCs w:val="0"/>
          <w:sz w:val="32"/>
          <w:lang w:eastAsia="zh-CN"/>
        </w:rPr>
        <w:t>）</w:t>
      </w:r>
    </w:p>
    <w:p w14:paraId="14301647">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lang w:val="en-US" w:eastAsia="zh-CN"/>
        </w:rPr>
        <w:t>4.</w:t>
      </w:r>
      <w:r>
        <w:rPr>
          <w:rFonts w:hint="eastAsia" w:ascii="Times New Roman" w:hAnsi="Times New Roman" w:eastAsia="仿宋_GB2312"/>
          <w:b w:val="0"/>
          <w:bCs w:val="0"/>
          <w:sz w:val="32"/>
        </w:rPr>
        <w:t>质量监控</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rPr>
        <w:t>对照中外合作办学评估要求，建立内部教学评估与外部评价机制。说明如何借鉴外方质量保障经验，确保培养质量，并保障培养的学生适应中国国情与发展需求。</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lang w:val="en-US" w:eastAsia="zh-CN"/>
        </w:rPr>
        <w:t>500字以内</w:t>
      </w:r>
      <w:r>
        <w:rPr>
          <w:rFonts w:hint="eastAsia" w:ascii="Times New Roman" w:hAnsi="Times New Roman" w:eastAsia="仿宋_GB2312"/>
          <w:b w:val="0"/>
          <w:bCs w:val="0"/>
          <w:sz w:val="32"/>
          <w:lang w:eastAsia="zh-CN"/>
        </w:rPr>
        <w:t>）</w:t>
      </w:r>
    </w:p>
    <w:p w14:paraId="4B674462">
      <w:pPr>
        <w:keepNext w:val="0"/>
        <w:keepLines w:val="0"/>
        <w:pageBreakBefore w:val="0"/>
        <w:kinsoku/>
        <w:wordWrap/>
        <w:overflowPunct/>
        <w:topLinePunct w:val="0"/>
        <w:autoSpaceDE/>
        <w:autoSpaceDN/>
        <w:bidi w:val="0"/>
        <w:adjustRightInd/>
        <w:snapToGrid/>
        <w:spacing w:beforeAutospacing="0" w:afterAutospacing="0"/>
        <w:ind w:firstLine="643" w:firstLineChars="200"/>
        <w:textAlignment w:val="auto"/>
        <w:rPr>
          <w:rFonts w:hint="eastAsia" w:ascii="Times New Roman" w:hAnsi="Times New Roman" w:eastAsia="仿宋_GB2312"/>
          <w:b/>
          <w:bCs/>
          <w:sz w:val="32"/>
        </w:rPr>
      </w:pPr>
      <w:r>
        <w:rPr>
          <w:rFonts w:hint="eastAsia" w:ascii="Times New Roman" w:hAnsi="Times New Roman" w:eastAsia="仿宋_GB2312"/>
          <w:b/>
          <w:bCs/>
          <w:sz w:val="32"/>
        </w:rPr>
        <w:t>负责单位：信息与电气工程学院（1、2）、教务处（3）、教育教学评估中心（4）</w:t>
      </w:r>
    </w:p>
    <w:p w14:paraId="0CCF311E">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黑体" w:hAnsi="黑体" w:eastAsia="黑体" w:cs="黑体"/>
          <w:b w:val="0"/>
          <w:bCs w:val="0"/>
          <w:sz w:val="32"/>
        </w:rPr>
      </w:pPr>
      <w:r>
        <w:rPr>
          <w:rFonts w:hint="eastAsia" w:ascii="黑体" w:hAnsi="黑体" w:eastAsia="黑体" w:cs="黑体"/>
          <w:b w:val="0"/>
          <w:bCs w:val="0"/>
          <w:sz w:val="32"/>
        </w:rPr>
        <w:t>四、举办项目的必要性</w:t>
      </w:r>
    </w:p>
    <w:p w14:paraId="0113620C">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lang w:val="en-US" w:eastAsia="zh-CN"/>
        </w:rPr>
        <w:t>1.</w:t>
      </w:r>
      <w:r>
        <w:rPr>
          <w:rFonts w:hint="eastAsia" w:ascii="Times New Roman" w:hAnsi="Times New Roman" w:eastAsia="仿宋_GB2312"/>
          <w:b w:val="0"/>
          <w:bCs w:val="0"/>
          <w:sz w:val="32"/>
        </w:rPr>
        <w:t>契合国家战略发展</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rPr>
        <w:t>对接教育对外开放、“一带一路”倡议及大数据国家战略，满足国家对国际化、创新型数字人才的迫切需求。</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lang w:val="en-US" w:eastAsia="zh-CN"/>
        </w:rPr>
        <w:t>500字以内</w:t>
      </w:r>
      <w:r>
        <w:rPr>
          <w:rFonts w:hint="eastAsia" w:ascii="Times New Roman" w:hAnsi="Times New Roman" w:eastAsia="仿宋_GB2312"/>
          <w:b w:val="0"/>
          <w:bCs w:val="0"/>
          <w:sz w:val="32"/>
          <w:lang w:eastAsia="zh-CN"/>
        </w:rPr>
        <w:t>）</w:t>
      </w:r>
    </w:p>
    <w:p w14:paraId="57E48E96">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lang w:val="en-US" w:eastAsia="zh-CN"/>
        </w:rPr>
        <w:t>2.</w:t>
      </w:r>
      <w:r>
        <w:rPr>
          <w:rFonts w:hint="eastAsia" w:ascii="Times New Roman" w:hAnsi="Times New Roman" w:eastAsia="仿宋_GB2312"/>
          <w:b w:val="0"/>
          <w:bCs w:val="0"/>
          <w:sz w:val="32"/>
        </w:rPr>
        <w:t>服务教育强国建设</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rPr>
        <w:t>响应科教兴国、人才强国战略，落实高水平教育开放要求，助力数字经济时代人才培养。</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lang w:val="en-US" w:eastAsia="zh-CN"/>
        </w:rPr>
        <w:t>500字以内</w:t>
      </w:r>
      <w:r>
        <w:rPr>
          <w:rFonts w:hint="eastAsia" w:ascii="Times New Roman" w:hAnsi="Times New Roman" w:eastAsia="仿宋_GB2312"/>
          <w:b w:val="0"/>
          <w:bCs w:val="0"/>
          <w:sz w:val="32"/>
          <w:lang w:eastAsia="zh-CN"/>
        </w:rPr>
        <w:t>）</w:t>
      </w:r>
    </w:p>
    <w:p w14:paraId="1D9A1999">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lang w:val="en-US" w:eastAsia="zh-CN"/>
        </w:rPr>
        <w:t>3.</w:t>
      </w:r>
      <w:r>
        <w:rPr>
          <w:rFonts w:hint="eastAsia" w:ascii="Times New Roman" w:hAnsi="Times New Roman" w:eastAsia="仿宋_GB2312"/>
          <w:b w:val="0"/>
          <w:bCs w:val="0"/>
          <w:sz w:val="32"/>
        </w:rPr>
        <w:t>适配产业经济发展</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rPr>
        <w:t>结合全球及中国数字经济发展趋势，分析大数据行业人才缺口，说明项目对产业的支持作用。</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lang w:val="en-US" w:eastAsia="zh-CN"/>
        </w:rPr>
        <w:t>500字以内</w:t>
      </w:r>
      <w:r>
        <w:rPr>
          <w:rFonts w:hint="eastAsia" w:ascii="Times New Roman" w:hAnsi="Times New Roman" w:eastAsia="仿宋_GB2312"/>
          <w:b w:val="0"/>
          <w:bCs w:val="0"/>
          <w:sz w:val="32"/>
          <w:lang w:eastAsia="zh-CN"/>
        </w:rPr>
        <w:t>）</w:t>
      </w:r>
    </w:p>
    <w:p w14:paraId="65DCA0E0">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lang w:val="en-US" w:eastAsia="zh-CN"/>
        </w:rPr>
        <w:t>4.</w:t>
      </w:r>
      <w:r>
        <w:rPr>
          <w:rFonts w:hint="eastAsia" w:ascii="Times New Roman" w:hAnsi="Times New Roman" w:eastAsia="仿宋_GB2312"/>
          <w:b w:val="0"/>
          <w:bCs w:val="0"/>
          <w:sz w:val="32"/>
        </w:rPr>
        <w:t>支撑地方区域发展</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rPr>
        <w:t>紧扣黑龙江省及大庆市产业规划，阐述项目对服务地方重点产业与经济社会发展的贡献。</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lang w:val="en-US" w:eastAsia="zh-CN"/>
        </w:rPr>
        <w:t>500字以内</w:t>
      </w:r>
      <w:r>
        <w:rPr>
          <w:rFonts w:hint="eastAsia" w:ascii="Times New Roman" w:hAnsi="Times New Roman" w:eastAsia="仿宋_GB2312"/>
          <w:b w:val="0"/>
          <w:bCs w:val="0"/>
          <w:sz w:val="32"/>
          <w:lang w:eastAsia="zh-CN"/>
        </w:rPr>
        <w:t>）</w:t>
      </w:r>
    </w:p>
    <w:p w14:paraId="706A55DC">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lang w:val="en-US" w:eastAsia="zh-CN"/>
        </w:rPr>
        <w:t>5.</w:t>
      </w:r>
      <w:r>
        <w:rPr>
          <w:rFonts w:hint="eastAsia" w:ascii="Times New Roman" w:hAnsi="Times New Roman" w:eastAsia="仿宋_GB2312"/>
          <w:b w:val="0"/>
          <w:bCs w:val="0"/>
          <w:sz w:val="32"/>
        </w:rPr>
        <w:t>推动学校内涵发展</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rPr>
        <w:t>契合学校“十五五”规划与国际发展战略，助力新工科建设，加速教育国际化进程，提升学校综合竞争力与声誉。</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lang w:val="en-US" w:eastAsia="zh-CN"/>
        </w:rPr>
        <w:t>500字以内</w:t>
      </w:r>
      <w:r>
        <w:rPr>
          <w:rFonts w:hint="eastAsia" w:ascii="Times New Roman" w:hAnsi="Times New Roman" w:eastAsia="仿宋_GB2312"/>
          <w:b w:val="0"/>
          <w:bCs w:val="0"/>
          <w:sz w:val="32"/>
          <w:lang w:eastAsia="zh-CN"/>
        </w:rPr>
        <w:t>）</w:t>
      </w:r>
    </w:p>
    <w:p w14:paraId="440DCB15">
      <w:pPr>
        <w:keepNext w:val="0"/>
        <w:keepLines w:val="0"/>
        <w:pageBreakBefore w:val="0"/>
        <w:kinsoku/>
        <w:wordWrap/>
        <w:overflowPunct/>
        <w:topLinePunct w:val="0"/>
        <w:autoSpaceDE/>
        <w:autoSpaceDN/>
        <w:bidi w:val="0"/>
        <w:adjustRightInd/>
        <w:snapToGrid/>
        <w:spacing w:beforeAutospacing="0" w:afterAutospacing="0"/>
        <w:ind w:firstLine="643" w:firstLineChars="200"/>
        <w:textAlignment w:val="auto"/>
        <w:rPr>
          <w:rFonts w:hint="eastAsia" w:ascii="Times New Roman" w:hAnsi="Times New Roman" w:eastAsia="仿宋_GB2312"/>
          <w:b/>
          <w:bCs/>
          <w:sz w:val="32"/>
        </w:rPr>
      </w:pPr>
      <w:r>
        <w:rPr>
          <w:rFonts w:hint="eastAsia" w:ascii="Times New Roman" w:hAnsi="Times New Roman" w:eastAsia="仿宋_GB2312"/>
          <w:b/>
          <w:bCs/>
          <w:sz w:val="32"/>
        </w:rPr>
        <w:t>负责单位：发展规划处（1）、信息与电气工程学院（2、3、4、5）</w:t>
      </w:r>
    </w:p>
    <w:p w14:paraId="6B8CB658">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黑体" w:hAnsi="黑体" w:eastAsia="黑体" w:cs="黑体"/>
          <w:b w:val="0"/>
          <w:bCs w:val="0"/>
          <w:sz w:val="32"/>
          <w:lang w:eastAsia="zh-CN"/>
        </w:rPr>
      </w:pPr>
      <w:r>
        <w:rPr>
          <w:rFonts w:hint="eastAsia" w:ascii="黑体" w:hAnsi="黑体" w:eastAsia="黑体" w:cs="黑体"/>
          <w:b w:val="0"/>
          <w:bCs w:val="0"/>
          <w:sz w:val="32"/>
        </w:rPr>
        <w:t>五、项目实施的</w:t>
      </w:r>
      <w:r>
        <w:rPr>
          <w:rFonts w:hint="eastAsia" w:ascii="黑体" w:hAnsi="黑体" w:eastAsia="黑体" w:cs="黑体"/>
          <w:b w:val="0"/>
          <w:bCs w:val="0"/>
          <w:sz w:val="32"/>
          <w:lang w:eastAsia="zh-CN"/>
        </w:rPr>
        <w:t>可行性</w:t>
      </w:r>
    </w:p>
    <w:p w14:paraId="1EDEF313">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lang w:val="en-US" w:eastAsia="zh-CN"/>
        </w:rPr>
        <w:t>1.</w:t>
      </w:r>
      <w:r>
        <w:rPr>
          <w:rFonts w:hint="eastAsia" w:ascii="Times New Roman" w:hAnsi="Times New Roman" w:eastAsia="仿宋_GB2312"/>
          <w:b w:val="0"/>
          <w:bCs w:val="0"/>
          <w:sz w:val="32"/>
        </w:rPr>
        <w:t>国际化办学基础</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rPr>
        <w:t>概述学校整体的国际合作交流成效与经验，包括与俄罗斯高校</w:t>
      </w:r>
      <w:r>
        <w:rPr>
          <w:rFonts w:hint="eastAsia" w:ascii="Times New Roman" w:hAnsi="Times New Roman" w:eastAsia="仿宋_GB2312"/>
          <w:b w:val="0"/>
          <w:bCs w:val="0"/>
          <w:sz w:val="32"/>
          <w:lang w:val="en-US" w:eastAsia="zh-CN"/>
        </w:rPr>
        <w:t>中外合作办学项目</w:t>
      </w:r>
      <w:r>
        <w:rPr>
          <w:rFonts w:hint="eastAsia" w:ascii="Times New Roman" w:hAnsi="Times New Roman" w:eastAsia="仿宋_GB2312"/>
          <w:b w:val="0"/>
          <w:bCs w:val="0"/>
          <w:sz w:val="32"/>
        </w:rPr>
        <w:t>的合作历史与成果。</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lang w:val="en-US" w:eastAsia="zh-CN"/>
        </w:rPr>
        <w:t>500字以内</w:t>
      </w:r>
      <w:r>
        <w:rPr>
          <w:rFonts w:hint="eastAsia" w:ascii="Times New Roman" w:hAnsi="Times New Roman" w:eastAsia="仿宋_GB2312"/>
          <w:b w:val="0"/>
          <w:bCs w:val="0"/>
          <w:sz w:val="32"/>
          <w:lang w:eastAsia="zh-CN"/>
        </w:rPr>
        <w:t>）</w:t>
      </w:r>
    </w:p>
    <w:p w14:paraId="239ED1F2">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lang w:val="en-US" w:eastAsia="zh-CN"/>
        </w:rPr>
        <w:t>2.</w:t>
      </w:r>
      <w:r>
        <w:rPr>
          <w:rFonts w:hint="eastAsia" w:ascii="Times New Roman" w:hAnsi="Times New Roman" w:eastAsia="仿宋_GB2312"/>
          <w:b w:val="0"/>
          <w:bCs w:val="0"/>
          <w:sz w:val="32"/>
        </w:rPr>
        <w:t>中方专业资源</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rPr>
        <w:t>详细介绍信息与电气工程学院在本专业领域的师资力量、实验实训条件、校企合作平台、企业导师库及成熟的办学经验。</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lang w:val="en-US" w:eastAsia="zh-CN"/>
        </w:rPr>
        <w:t>1000字以内</w:t>
      </w:r>
      <w:r>
        <w:rPr>
          <w:rFonts w:hint="eastAsia" w:ascii="Times New Roman" w:hAnsi="Times New Roman" w:eastAsia="仿宋_GB2312"/>
          <w:b w:val="0"/>
          <w:bCs w:val="0"/>
          <w:sz w:val="32"/>
          <w:lang w:eastAsia="zh-CN"/>
        </w:rPr>
        <w:t>）</w:t>
      </w:r>
    </w:p>
    <w:p w14:paraId="59DAB1FC">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lang w:val="en-US" w:eastAsia="zh-CN"/>
        </w:rPr>
        <w:t>3.</w:t>
      </w:r>
      <w:r>
        <w:rPr>
          <w:rFonts w:hint="eastAsia" w:ascii="Times New Roman" w:hAnsi="Times New Roman" w:eastAsia="仿宋_GB2312"/>
          <w:b w:val="0"/>
          <w:bCs w:val="0"/>
          <w:sz w:val="32"/>
        </w:rPr>
        <w:t>外方专业资源</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rPr>
        <w:t>重点阐述精英大学在数据科学与大数据技术领域的学科优势、先进课程体系、教材研发能力、行业合作资源及教学特色。</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lang w:val="en-US" w:eastAsia="zh-CN"/>
        </w:rPr>
        <w:t>1000字以内</w:t>
      </w:r>
      <w:r>
        <w:rPr>
          <w:rFonts w:hint="eastAsia" w:ascii="Times New Roman" w:hAnsi="Times New Roman" w:eastAsia="仿宋_GB2312"/>
          <w:b w:val="0"/>
          <w:bCs w:val="0"/>
          <w:sz w:val="32"/>
          <w:lang w:eastAsia="zh-CN"/>
        </w:rPr>
        <w:t>）</w:t>
      </w:r>
    </w:p>
    <w:p w14:paraId="5ADA4FDD">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lang w:val="en-US" w:eastAsia="zh-CN"/>
        </w:rPr>
        <w:t>4.</w:t>
      </w:r>
      <w:r>
        <w:rPr>
          <w:rFonts w:hint="eastAsia" w:ascii="Times New Roman" w:hAnsi="Times New Roman" w:eastAsia="仿宋_GB2312"/>
          <w:b w:val="0"/>
          <w:bCs w:val="0"/>
          <w:sz w:val="32"/>
        </w:rPr>
        <w:t>管理与质量保障</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rPr>
        <w:t>说明学校在人才培养模式、德育工作、教学质量管理体系、学生服务与支持体系等方面的现有机制。</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lang w:val="en-US" w:eastAsia="zh-CN"/>
        </w:rPr>
        <w:t>500字以内</w:t>
      </w:r>
      <w:r>
        <w:rPr>
          <w:rFonts w:hint="eastAsia" w:ascii="Times New Roman" w:hAnsi="Times New Roman" w:eastAsia="仿宋_GB2312"/>
          <w:b w:val="0"/>
          <w:bCs w:val="0"/>
          <w:sz w:val="32"/>
          <w:lang w:eastAsia="zh-CN"/>
        </w:rPr>
        <w:t>）</w:t>
      </w:r>
    </w:p>
    <w:p w14:paraId="657184CD">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lang w:val="en-US" w:eastAsia="zh-CN"/>
        </w:rPr>
        <w:t>5.</w:t>
      </w:r>
      <w:r>
        <w:rPr>
          <w:rFonts w:hint="eastAsia" w:ascii="Times New Roman" w:hAnsi="Times New Roman" w:eastAsia="仿宋_GB2312"/>
          <w:b w:val="0"/>
          <w:bCs w:val="0"/>
          <w:sz w:val="32"/>
        </w:rPr>
        <w:t>项目运行机制</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rPr>
        <w:t>说明合作协议签署情况、联合管理委员会组建方案及职责、双方在师资、资金、管理等方面的投入承诺。</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lang w:val="en-US" w:eastAsia="zh-CN"/>
        </w:rPr>
        <w:t>500字以内</w:t>
      </w:r>
      <w:r>
        <w:rPr>
          <w:rFonts w:hint="eastAsia" w:ascii="Times New Roman" w:hAnsi="Times New Roman" w:eastAsia="仿宋_GB2312"/>
          <w:b w:val="0"/>
          <w:bCs w:val="0"/>
          <w:sz w:val="32"/>
          <w:lang w:eastAsia="zh-CN"/>
        </w:rPr>
        <w:t>）</w:t>
      </w:r>
    </w:p>
    <w:p w14:paraId="78754397">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lang w:val="en-US" w:eastAsia="zh-CN"/>
        </w:rPr>
        <w:t>6.</w:t>
      </w:r>
      <w:r>
        <w:rPr>
          <w:rFonts w:hint="eastAsia" w:ascii="Times New Roman" w:hAnsi="Times New Roman" w:eastAsia="仿宋_GB2312"/>
          <w:b w:val="0"/>
          <w:bCs w:val="0"/>
          <w:sz w:val="32"/>
        </w:rPr>
        <w:t>双方合作基础</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rPr>
        <w:t>重点介绍我校与马来西亚高校，特别是与精英大学已有的交流合作历史与具体成果。</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lang w:val="en-US" w:eastAsia="zh-CN"/>
        </w:rPr>
        <w:t>500字以内</w:t>
      </w:r>
      <w:r>
        <w:rPr>
          <w:rFonts w:hint="eastAsia" w:ascii="Times New Roman" w:hAnsi="Times New Roman" w:eastAsia="仿宋_GB2312"/>
          <w:b w:val="0"/>
          <w:bCs w:val="0"/>
          <w:sz w:val="32"/>
          <w:lang w:eastAsia="zh-CN"/>
        </w:rPr>
        <w:t>）</w:t>
      </w:r>
    </w:p>
    <w:p w14:paraId="20552E30">
      <w:pPr>
        <w:keepNext w:val="0"/>
        <w:keepLines w:val="0"/>
        <w:pageBreakBefore w:val="0"/>
        <w:kinsoku/>
        <w:wordWrap/>
        <w:overflowPunct/>
        <w:topLinePunct w:val="0"/>
        <w:autoSpaceDE/>
        <w:autoSpaceDN/>
        <w:bidi w:val="0"/>
        <w:adjustRightInd/>
        <w:snapToGrid/>
        <w:spacing w:beforeAutospacing="0" w:afterAutospacing="0"/>
        <w:ind w:firstLine="643" w:firstLineChars="200"/>
        <w:textAlignment w:val="auto"/>
        <w:rPr>
          <w:rFonts w:hint="eastAsia" w:ascii="Times New Roman" w:hAnsi="Times New Roman" w:eastAsia="仿宋_GB2312"/>
          <w:b/>
          <w:bCs/>
          <w:sz w:val="32"/>
        </w:rPr>
      </w:pPr>
      <w:r>
        <w:rPr>
          <w:rFonts w:hint="eastAsia" w:ascii="Times New Roman" w:hAnsi="Times New Roman" w:eastAsia="仿宋_GB2312"/>
          <w:b/>
          <w:bCs/>
          <w:sz w:val="32"/>
        </w:rPr>
        <w:t>负责单位：国际合作与交流中心（1、3、5、6）、信息与电气工程学院（2）、教务处（4）</w:t>
      </w:r>
    </w:p>
    <w:p w14:paraId="2704EA94">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黑体" w:hAnsi="黑体" w:eastAsia="黑体" w:cs="黑体"/>
          <w:b w:val="0"/>
          <w:bCs w:val="0"/>
          <w:sz w:val="32"/>
        </w:rPr>
      </w:pPr>
      <w:r>
        <w:rPr>
          <w:rFonts w:hint="eastAsia" w:ascii="黑体" w:hAnsi="黑体" w:eastAsia="黑体" w:cs="黑体"/>
          <w:b w:val="0"/>
          <w:bCs w:val="0"/>
          <w:sz w:val="32"/>
        </w:rPr>
        <w:t>六、项目运行管理</w:t>
      </w:r>
    </w:p>
    <w:p w14:paraId="71340253">
      <w:pPr>
        <w:keepNext w:val="0"/>
        <w:keepLines w:val="0"/>
        <w:pageBreakBefore w:val="0"/>
        <w:kinsoku/>
        <w:wordWrap/>
        <w:overflowPunct/>
        <w:topLinePunct w:val="0"/>
        <w:autoSpaceDE/>
        <w:autoSpaceDN/>
        <w:bidi w:val="0"/>
        <w:adjustRightInd/>
        <w:snapToGrid/>
        <w:spacing w:beforeAutospacing="0" w:afterAutospacing="0"/>
        <w:ind w:firstLine="643" w:firstLineChars="200"/>
        <w:textAlignment w:val="auto"/>
        <w:rPr>
          <w:rFonts w:hint="eastAsia" w:ascii="楷体" w:hAnsi="楷体" w:eastAsia="楷体" w:cs="楷体"/>
          <w:b/>
          <w:bCs/>
          <w:sz w:val="32"/>
        </w:rPr>
      </w:pPr>
      <w:r>
        <w:rPr>
          <w:rFonts w:hint="eastAsia" w:ascii="楷体" w:hAnsi="楷体" w:eastAsia="楷体" w:cs="楷体"/>
          <w:b/>
          <w:bCs/>
          <w:sz w:val="32"/>
        </w:rPr>
        <w:t>（一）组织机构建设</w:t>
      </w:r>
    </w:p>
    <w:p w14:paraId="6759AE25">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rPr>
        <w:t>联合管理委员会</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rPr>
        <w:t>明确委员会人员构成（中方、外方、教师代表等）、负责人、党建负责人及其在决策、监督、协调中的核心职责。</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lang w:val="en-US" w:eastAsia="zh-CN"/>
        </w:rPr>
        <w:t>200字以内</w:t>
      </w:r>
      <w:r>
        <w:rPr>
          <w:rFonts w:hint="eastAsia" w:ascii="Times New Roman" w:hAnsi="Times New Roman" w:eastAsia="仿宋_GB2312"/>
          <w:b w:val="0"/>
          <w:bCs w:val="0"/>
          <w:sz w:val="32"/>
          <w:lang w:eastAsia="zh-CN"/>
        </w:rPr>
        <w:t>）</w:t>
      </w:r>
    </w:p>
    <w:p w14:paraId="0111F50C">
      <w:pPr>
        <w:keepNext w:val="0"/>
        <w:keepLines w:val="0"/>
        <w:pageBreakBefore w:val="0"/>
        <w:kinsoku/>
        <w:wordWrap/>
        <w:overflowPunct/>
        <w:topLinePunct w:val="0"/>
        <w:autoSpaceDE/>
        <w:autoSpaceDN/>
        <w:bidi w:val="0"/>
        <w:adjustRightInd/>
        <w:snapToGrid/>
        <w:spacing w:beforeAutospacing="0" w:afterAutospacing="0"/>
        <w:ind w:firstLine="643" w:firstLineChars="200"/>
        <w:textAlignment w:val="auto"/>
        <w:rPr>
          <w:rFonts w:hint="eastAsia" w:ascii="Times New Roman" w:hAnsi="Times New Roman" w:eastAsia="仿宋_GB2312"/>
          <w:b/>
          <w:bCs/>
          <w:sz w:val="32"/>
        </w:rPr>
      </w:pPr>
      <w:r>
        <w:rPr>
          <w:rFonts w:hint="eastAsia" w:ascii="Times New Roman" w:hAnsi="Times New Roman" w:eastAsia="仿宋_GB2312"/>
          <w:b/>
          <w:bCs/>
          <w:sz w:val="32"/>
        </w:rPr>
        <w:t>负责单位：国际合作与交流中心</w:t>
      </w:r>
    </w:p>
    <w:p w14:paraId="7DB27AB6">
      <w:pPr>
        <w:keepNext w:val="0"/>
        <w:keepLines w:val="0"/>
        <w:pageBreakBefore w:val="0"/>
        <w:kinsoku/>
        <w:wordWrap/>
        <w:overflowPunct/>
        <w:topLinePunct w:val="0"/>
        <w:autoSpaceDE/>
        <w:autoSpaceDN/>
        <w:bidi w:val="0"/>
        <w:adjustRightInd/>
        <w:snapToGrid/>
        <w:spacing w:beforeAutospacing="0" w:afterAutospacing="0"/>
        <w:ind w:firstLine="643" w:firstLineChars="200"/>
        <w:textAlignment w:val="auto"/>
        <w:rPr>
          <w:rFonts w:hint="eastAsia" w:ascii="楷体" w:hAnsi="楷体" w:eastAsia="楷体" w:cs="楷体"/>
          <w:b/>
          <w:bCs/>
          <w:sz w:val="32"/>
        </w:rPr>
      </w:pPr>
      <w:r>
        <w:rPr>
          <w:rFonts w:hint="eastAsia" w:ascii="楷体" w:hAnsi="楷体" w:eastAsia="楷体" w:cs="楷体"/>
          <w:b/>
          <w:bCs/>
          <w:sz w:val="32"/>
        </w:rPr>
        <w:t>（二）教学与课程管理</w:t>
      </w:r>
    </w:p>
    <w:p w14:paraId="152F39BF">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rPr>
        <w:t>阐述如何确保共同制定的人才培养方案和教学计划符合两国学术标准及专业认证要求，满足双方共同的培养目标。</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lang w:val="en-US" w:eastAsia="zh-CN"/>
        </w:rPr>
        <w:t>500字以内</w:t>
      </w:r>
      <w:r>
        <w:rPr>
          <w:rFonts w:hint="eastAsia" w:ascii="Times New Roman" w:hAnsi="Times New Roman" w:eastAsia="仿宋_GB2312"/>
          <w:b w:val="0"/>
          <w:bCs w:val="0"/>
          <w:sz w:val="32"/>
          <w:lang w:eastAsia="zh-CN"/>
        </w:rPr>
        <w:t>）</w:t>
      </w:r>
    </w:p>
    <w:p w14:paraId="72C2D5FE">
      <w:pPr>
        <w:keepNext w:val="0"/>
        <w:keepLines w:val="0"/>
        <w:pageBreakBefore w:val="0"/>
        <w:kinsoku/>
        <w:wordWrap/>
        <w:overflowPunct/>
        <w:topLinePunct w:val="0"/>
        <w:autoSpaceDE/>
        <w:autoSpaceDN/>
        <w:bidi w:val="0"/>
        <w:adjustRightInd/>
        <w:snapToGrid/>
        <w:spacing w:beforeAutospacing="0" w:afterAutospacing="0"/>
        <w:ind w:firstLine="643" w:firstLineChars="200"/>
        <w:textAlignment w:val="auto"/>
        <w:rPr>
          <w:rFonts w:hint="eastAsia" w:ascii="Times New Roman" w:hAnsi="Times New Roman" w:eastAsia="仿宋_GB2312"/>
          <w:b/>
          <w:bCs/>
          <w:sz w:val="32"/>
        </w:rPr>
      </w:pPr>
      <w:r>
        <w:rPr>
          <w:rFonts w:hint="eastAsia" w:ascii="Times New Roman" w:hAnsi="Times New Roman" w:eastAsia="仿宋_GB2312"/>
          <w:b/>
          <w:bCs/>
          <w:sz w:val="32"/>
        </w:rPr>
        <w:t>负责单位：信息与电气工程学院、教务处</w:t>
      </w:r>
    </w:p>
    <w:p w14:paraId="7FBAA2B3">
      <w:pPr>
        <w:keepNext w:val="0"/>
        <w:keepLines w:val="0"/>
        <w:pageBreakBefore w:val="0"/>
        <w:kinsoku/>
        <w:wordWrap/>
        <w:overflowPunct/>
        <w:topLinePunct w:val="0"/>
        <w:autoSpaceDE/>
        <w:autoSpaceDN/>
        <w:bidi w:val="0"/>
        <w:adjustRightInd/>
        <w:snapToGrid/>
        <w:spacing w:beforeAutospacing="0" w:afterAutospacing="0"/>
        <w:ind w:firstLine="643" w:firstLineChars="200"/>
        <w:textAlignment w:val="auto"/>
        <w:rPr>
          <w:rFonts w:hint="eastAsia" w:ascii="楷体" w:hAnsi="楷体" w:eastAsia="楷体" w:cs="楷体"/>
          <w:b/>
          <w:bCs/>
          <w:sz w:val="32"/>
        </w:rPr>
      </w:pPr>
      <w:r>
        <w:rPr>
          <w:rFonts w:hint="eastAsia" w:ascii="楷体" w:hAnsi="楷体" w:eastAsia="楷体" w:cs="楷体"/>
          <w:b/>
          <w:bCs/>
          <w:sz w:val="32"/>
        </w:rPr>
        <w:t>（三）经费筹措与管理</w:t>
      </w:r>
    </w:p>
    <w:p w14:paraId="2D1E0804">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lang w:eastAsia="zh-CN"/>
        </w:rPr>
      </w:pPr>
      <w:r>
        <w:rPr>
          <w:rFonts w:hint="eastAsia" w:ascii="Times New Roman" w:hAnsi="Times New Roman" w:eastAsia="仿宋_GB2312"/>
          <w:b w:val="0"/>
          <w:bCs w:val="0"/>
          <w:sz w:val="32"/>
          <w:lang w:val="en-US" w:eastAsia="zh-CN"/>
        </w:rPr>
        <w:t>1.</w:t>
      </w:r>
      <w:r>
        <w:rPr>
          <w:rFonts w:hint="eastAsia" w:ascii="Times New Roman" w:hAnsi="Times New Roman" w:eastAsia="仿宋_GB2312"/>
          <w:b w:val="0"/>
          <w:bCs w:val="0"/>
          <w:sz w:val="32"/>
        </w:rPr>
        <w:t>收费标准</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rPr>
        <w:t>列明经批准的学费等收费项目及标准，并说明将在招生简章中公开。</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lang w:val="en-US" w:eastAsia="zh-CN"/>
        </w:rPr>
        <w:t>100字以内</w:t>
      </w:r>
      <w:r>
        <w:rPr>
          <w:rFonts w:hint="eastAsia" w:ascii="Times New Roman" w:hAnsi="Times New Roman" w:eastAsia="仿宋_GB2312"/>
          <w:b w:val="0"/>
          <w:bCs w:val="0"/>
          <w:sz w:val="32"/>
          <w:lang w:eastAsia="zh-CN"/>
        </w:rPr>
        <w:t>）</w:t>
      </w:r>
    </w:p>
    <w:p w14:paraId="47858319">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lang w:val="en-US" w:eastAsia="zh-CN"/>
        </w:rPr>
        <w:t>2.</w:t>
      </w:r>
      <w:r>
        <w:rPr>
          <w:rFonts w:hint="eastAsia" w:ascii="Times New Roman" w:hAnsi="Times New Roman" w:eastAsia="仿宋_GB2312"/>
          <w:b w:val="0"/>
          <w:bCs w:val="0"/>
          <w:sz w:val="32"/>
        </w:rPr>
        <w:t>财务管理制度</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rPr>
        <w:t>说明将严格遵循国家法规，设立项目专项账户、单独核算、专款专用；明确财务报告、年度审计及结果公示备案要求。</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lang w:val="en-US" w:eastAsia="zh-CN"/>
        </w:rPr>
        <w:t>500字以内</w:t>
      </w:r>
      <w:r>
        <w:rPr>
          <w:rFonts w:hint="eastAsia" w:ascii="Times New Roman" w:hAnsi="Times New Roman" w:eastAsia="仿宋_GB2312"/>
          <w:b w:val="0"/>
          <w:bCs w:val="0"/>
          <w:sz w:val="32"/>
          <w:lang w:eastAsia="zh-CN"/>
        </w:rPr>
        <w:t>）</w:t>
      </w:r>
    </w:p>
    <w:p w14:paraId="7B557201">
      <w:pPr>
        <w:keepNext w:val="0"/>
        <w:keepLines w:val="0"/>
        <w:pageBreakBefore w:val="0"/>
        <w:kinsoku/>
        <w:wordWrap/>
        <w:overflowPunct/>
        <w:topLinePunct w:val="0"/>
        <w:autoSpaceDE/>
        <w:autoSpaceDN/>
        <w:bidi w:val="0"/>
        <w:adjustRightInd/>
        <w:snapToGrid/>
        <w:spacing w:beforeAutospacing="0" w:afterAutospacing="0"/>
        <w:ind w:firstLine="643" w:firstLineChars="200"/>
        <w:textAlignment w:val="auto"/>
        <w:rPr>
          <w:rFonts w:hint="eastAsia" w:ascii="Times New Roman" w:hAnsi="Times New Roman" w:eastAsia="仿宋_GB2312"/>
          <w:b/>
          <w:bCs/>
          <w:sz w:val="32"/>
        </w:rPr>
      </w:pPr>
      <w:r>
        <w:rPr>
          <w:rFonts w:hint="eastAsia" w:ascii="Times New Roman" w:hAnsi="Times New Roman" w:eastAsia="仿宋_GB2312"/>
          <w:b/>
          <w:bCs/>
          <w:sz w:val="32"/>
        </w:rPr>
        <w:t>负责单位：计划财务处、审计处</w:t>
      </w:r>
    </w:p>
    <w:p w14:paraId="6D6B4477">
      <w:pPr>
        <w:keepNext w:val="0"/>
        <w:keepLines w:val="0"/>
        <w:pageBreakBefore w:val="0"/>
        <w:kinsoku/>
        <w:wordWrap/>
        <w:overflowPunct/>
        <w:topLinePunct w:val="0"/>
        <w:autoSpaceDE/>
        <w:autoSpaceDN/>
        <w:bidi w:val="0"/>
        <w:adjustRightInd/>
        <w:snapToGrid/>
        <w:spacing w:beforeAutospacing="0" w:afterAutospacing="0"/>
        <w:ind w:firstLine="643" w:firstLineChars="200"/>
        <w:textAlignment w:val="auto"/>
        <w:rPr>
          <w:rFonts w:hint="eastAsia" w:ascii="楷体" w:hAnsi="楷体" w:eastAsia="楷体" w:cs="楷体"/>
          <w:b/>
          <w:bCs/>
          <w:sz w:val="32"/>
        </w:rPr>
      </w:pPr>
      <w:r>
        <w:rPr>
          <w:rFonts w:hint="eastAsia" w:ascii="楷体" w:hAnsi="楷体" w:eastAsia="楷体" w:cs="楷体"/>
          <w:b/>
          <w:bCs/>
          <w:sz w:val="32"/>
        </w:rPr>
        <w:t>（四）党建工作</w:t>
      </w:r>
    </w:p>
    <w:p w14:paraId="699EE500">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lang w:val="en-US" w:eastAsia="zh-CN"/>
        </w:rPr>
        <w:t>1.</w:t>
      </w:r>
      <w:r>
        <w:rPr>
          <w:rFonts w:hint="eastAsia" w:ascii="Times New Roman" w:hAnsi="Times New Roman" w:eastAsia="仿宋_GB2312"/>
          <w:b w:val="0"/>
          <w:bCs w:val="0"/>
          <w:sz w:val="32"/>
        </w:rPr>
        <w:t>核心原则</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rPr>
        <w:t>坚持党的全面领导，确保党的建设与项目建设同步规划、同步设置、同步开展，牢牢把握社会主义办学方向。</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lang w:val="en-US" w:eastAsia="zh-CN"/>
        </w:rPr>
        <w:t>300字以内</w:t>
      </w:r>
      <w:r>
        <w:rPr>
          <w:rFonts w:hint="eastAsia" w:ascii="Times New Roman" w:hAnsi="Times New Roman" w:eastAsia="仿宋_GB2312"/>
          <w:b w:val="0"/>
          <w:bCs w:val="0"/>
          <w:sz w:val="32"/>
          <w:lang w:eastAsia="zh-CN"/>
        </w:rPr>
        <w:t>）</w:t>
      </w:r>
    </w:p>
    <w:p w14:paraId="247887BE">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lang w:val="en-US" w:eastAsia="zh-CN"/>
        </w:rPr>
        <w:t>2.</w:t>
      </w:r>
      <w:r>
        <w:rPr>
          <w:rFonts w:hint="eastAsia" w:ascii="Times New Roman" w:hAnsi="Times New Roman" w:eastAsia="仿宋_GB2312"/>
          <w:b w:val="0"/>
          <w:bCs w:val="0"/>
          <w:sz w:val="32"/>
        </w:rPr>
        <w:t>主要举措</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lang w:val="en-US" w:eastAsia="zh-CN"/>
        </w:rPr>
        <w:t>一是</w:t>
      </w:r>
      <w:r>
        <w:rPr>
          <w:rFonts w:hint="eastAsia" w:ascii="Times New Roman" w:hAnsi="Times New Roman" w:eastAsia="仿宋_GB2312"/>
          <w:b w:val="0"/>
          <w:bCs w:val="0"/>
          <w:sz w:val="32"/>
        </w:rPr>
        <w:t>组织建设</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rPr>
        <w:t>设立项目党支部，建立健全党组织参与重大事项决策机制。</w:t>
      </w:r>
      <w:r>
        <w:rPr>
          <w:rFonts w:hint="eastAsia" w:ascii="Times New Roman" w:hAnsi="Times New Roman" w:eastAsia="仿宋_GB2312"/>
          <w:b w:val="0"/>
          <w:bCs w:val="0"/>
          <w:sz w:val="32"/>
          <w:lang w:val="en-US" w:eastAsia="zh-CN"/>
        </w:rPr>
        <w:t>二是</w:t>
      </w:r>
      <w:r>
        <w:rPr>
          <w:rFonts w:hint="eastAsia" w:ascii="Times New Roman" w:hAnsi="Times New Roman" w:eastAsia="仿宋_GB2312"/>
          <w:b w:val="0"/>
          <w:bCs w:val="0"/>
          <w:sz w:val="32"/>
        </w:rPr>
        <w:t>思想引领</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rPr>
        <w:t>将习近平新时代中国特色社会主义思想融入教学，开好思政课，推进课程思政，加强爱国主义、法治教育。</w:t>
      </w:r>
      <w:r>
        <w:rPr>
          <w:rFonts w:hint="eastAsia" w:ascii="Times New Roman" w:hAnsi="Times New Roman" w:eastAsia="仿宋_GB2312"/>
          <w:b w:val="0"/>
          <w:bCs w:val="0"/>
          <w:sz w:val="32"/>
          <w:lang w:val="en-US" w:eastAsia="zh-CN"/>
        </w:rPr>
        <w:t>三是</w:t>
      </w:r>
      <w:r>
        <w:rPr>
          <w:rFonts w:hint="eastAsia" w:ascii="Times New Roman" w:hAnsi="Times New Roman" w:eastAsia="仿宋_GB2312"/>
          <w:b w:val="0"/>
          <w:bCs w:val="0"/>
          <w:sz w:val="32"/>
        </w:rPr>
        <w:t>党员管理</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rPr>
        <w:t>做好项目内师生党员的发展、教育和管理工作，发挥先锋模范作用。</w:t>
      </w:r>
      <w:r>
        <w:rPr>
          <w:rFonts w:hint="eastAsia" w:ascii="Times New Roman" w:hAnsi="Times New Roman" w:eastAsia="仿宋_GB2312"/>
          <w:b w:val="0"/>
          <w:bCs w:val="0"/>
          <w:sz w:val="32"/>
          <w:lang w:val="en-US" w:eastAsia="zh-CN"/>
        </w:rPr>
        <w:t>四是</w:t>
      </w:r>
      <w:r>
        <w:rPr>
          <w:rFonts w:hint="eastAsia" w:ascii="Times New Roman" w:hAnsi="Times New Roman" w:eastAsia="仿宋_GB2312"/>
          <w:b w:val="0"/>
          <w:bCs w:val="0"/>
          <w:sz w:val="32"/>
        </w:rPr>
        <w:t>意识形态管理</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rPr>
        <w:t>严格管控教学内容、教材及各类活动的意识形态安全，建立风险排查与应对机制。</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lang w:val="en-US" w:eastAsia="zh-CN"/>
        </w:rPr>
        <w:t>1000字以内</w:t>
      </w:r>
      <w:r>
        <w:rPr>
          <w:rFonts w:hint="eastAsia" w:ascii="Times New Roman" w:hAnsi="Times New Roman" w:eastAsia="仿宋_GB2312"/>
          <w:b w:val="0"/>
          <w:bCs w:val="0"/>
          <w:sz w:val="32"/>
          <w:lang w:eastAsia="zh-CN"/>
        </w:rPr>
        <w:t>）</w:t>
      </w:r>
    </w:p>
    <w:p w14:paraId="0ADC6C57">
      <w:pPr>
        <w:keepNext w:val="0"/>
        <w:keepLines w:val="0"/>
        <w:pageBreakBefore w:val="0"/>
        <w:kinsoku/>
        <w:wordWrap/>
        <w:overflowPunct/>
        <w:topLinePunct w:val="0"/>
        <w:autoSpaceDE/>
        <w:autoSpaceDN/>
        <w:bidi w:val="0"/>
        <w:adjustRightInd/>
        <w:snapToGrid/>
        <w:spacing w:beforeAutospacing="0" w:afterAutospacing="0"/>
        <w:ind w:firstLine="643" w:firstLineChars="200"/>
        <w:textAlignment w:val="auto"/>
        <w:rPr>
          <w:rFonts w:hint="eastAsia" w:ascii="Times New Roman" w:hAnsi="Times New Roman" w:eastAsia="仿宋_GB2312"/>
          <w:b/>
          <w:bCs/>
          <w:sz w:val="32"/>
        </w:rPr>
      </w:pPr>
      <w:r>
        <w:rPr>
          <w:rFonts w:hint="eastAsia" w:ascii="Times New Roman" w:hAnsi="Times New Roman" w:eastAsia="仿宋_GB2312"/>
          <w:b/>
          <w:bCs/>
          <w:sz w:val="32"/>
        </w:rPr>
        <w:t>负责单位：信息与电气工程学院党委、学校党委组织部</w:t>
      </w:r>
    </w:p>
    <w:p w14:paraId="425A5BD1">
      <w:pPr>
        <w:keepNext w:val="0"/>
        <w:keepLines w:val="0"/>
        <w:pageBreakBefore w:val="0"/>
        <w:kinsoku/>
        <w:wordWrap/>
        <w:overflowPunct/>
        <w:topLinePunct w:val="0"/>
        <w:autoSpaceDE/>
        <w:autoSpaceDN/>
        <w:bidi w:val="0"/>
        <w:adjustRightInd/>
        <w:snapToGrid/>
        <w:spacing w:beforeAutospacing="0" w:afterAutospacing="0"/>
        <w:ind w:firstLine="643" w:firstLineChars="200"/>
        <w:textAlignment w:val="auto"/>
        <w:rPr>
          <w:rFonts w:hint="eastAsia" w:ascii="楷体" w:hAnsi="楷体" w:eastAsia="楷体" w:cs="楷体"/>
          <w:b/>
          <w:bCs/>
          <w:sz w:val="32"/>
        </w:rPr>
      </w:pPr>
      <w:r>
        <w:rPr>
          <w:rFonts w:hint="eastAsia" w:ascii="楷体" w:hAnsi="楷体" w:eastAsia="楷体" w:cs="楷体"/>
          <w:b/>
          <w:bCs/>
          <w:sz w:val="32"/>
        </w:rPr>
        <w:t>（五）外籍教师管理与服务</w:t>
      </w:r>
    </w:p>
    <w:p w14:paraId="47376DEA">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lang w:eastAsia="zh-CN"/>
        </w:rPr>
      </w:pPr>
      <w:r>
        <w:rPr>
          <w:rFonts w:hint="eastAsia" w:ascii="Times New Roman" w:hAnsi="Times New Roman" w:eastAsia="仿宋_GB2312"/>
          <w:b w:val="0"/>
          <w:bCs w:val="0"/>
          <w:sz w:val="32"/>
          <w:lang w:val="en-US" w:eastAsia="zh-CN"/>
        </w:rPr>
        <w:t>1.</w:t>
      </w:r>
      <w:r>
        <w:rPr>
          <w:rFonts w:hint="eastAsia" w:ascii="Times New Roman" w:hAnsi="Times New Roman" w:eastAsia="仿宋_GB2312"/>
          <w:b w:val="0"/>
          <w:bCs w:val="0"/>
          <w:sz w:val="32"/>
        </w:rPr>
        <w:t>管理制度</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rPr>
        <w:t>制定外籍教师聘用、管理与考核办法，以及突发事件应急预案，明确归口管理部门。</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lang w:val="en-US" w:eastAsia="zh-CN"/>
        </w:rPr>
        <w:t>300字以内</w:t>
      </w:r>
      <w:r>
        <w:rPr>
          <w:rFonts w:hint="eastAsia" w:ascii="Times New Roman" w:hAnsi="Times New Roman" w:eastAsia="仿宋_GB2312"/>
          <w:b w:val="0"/>
          <w:bCs w:val="0"/>
          <w:sz w:val="32"/>
          <w:lang w:eastAsia="zh-CN"/>
        </w:rPr>
        <w:t>）</w:t>
      </w:r>
    </w:p>
    <w:p w14:paraId="728788A4">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lang w:val="en-US" w:eastAsia="zh-CN"/>
        </w:rPr>
        <w:t>2.</w:t>
      </w:r>
      <w:r>
        <w:rPr>
          <w:rFonts w:hint="eastAsia" w:ascii="Times New Roman" w:hAnsi="Times New Roman" w:eastAsia="仿宋_GB2312"/>
          <w:b w:val="0"/>
          <w:bCs w:val="0"/>
          <w:sz w:val="32"/>
        </w:rPr>
        <w:t>服务保障</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rPr>
        <w:t>为外籍教师提供工作、生活便利，加强安全、宗教活动管理，确保其依法依规开展教学。</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lang w:val="en-US" w:eastAsia="zh-CN"/>
        </w:rPr>
        <w:t>300字以内</w:t>
      </w:r>
      <w:r>
        <w:rPr>
          <w:rFonts w:hint="eastAsia" w:ascii="Times New Roman" w:hAnsi="Times New Roman" w:eastAsia="仿宋_GB2312"/>
          <w:b w:val="0"/>
          <w:bCs w:val="0"/>
          <w:sz w:val="32"/>
          <w:lang w:eastAsia="zh-CN"/>
        </w:rPr>
        <w:t>）</w:t>
      </w:r>
    </w:p>
    <w:p w14:paraId="5CB289CE">
      <w:pPr>
        <w:keepNext w:val="0"/>
        <w:keepLines w:val="0"/>
        <w:pageBreakBefore w:val="0"/>
        <w:kinsoku/>
        <w:wordWrap/>
        <w:overflowPunct/>
        <w:topLinePunct w:val="0"/>
        <w:autoSpaceDE/>
        <w:autoSpaceDN/>
        <w:bidi w:val="0"/>
        <w:adjustRightInd/>
        <w:snapToGrid/>
        <w:spacing w:beforeAutospacing="0" w:afterAutospacing="0"/>
        <w:ind w:firstLine="643" w:firstLineChars="200"/>
        <w:textAlignment w:val="auto"/>
        <w:rPr>
          <w:rFonts w:hint="eastAsia" w:ascii="Times New Roman" w:hAnsi="Times New Roman" w:eastAsia="仿宋_GB2312"/>
          <w:b/>
          <w:bCs/>
          <w:sz w:val="32"/>
        </w:rPr>
      </w:pPr>
      <w:r>
        <w:rPr>
          <w:rFonts w:hint="eastAsia" w:ascii="Times New Roman" w:hAnsi="Times New Roman" w:eastAsia="仿宋_GB2312"/>
          <w:b/>
          <w:bCs/>
          <w:sz w:val="32"/>
        </w:rPr>
        <w:t>负责单位：人事处（</w:t>
      </w:r>
      <w:r>
        <w:rPr>
          <w:rFonts w:hint="eastAsia" w:ascii="Times New Roman" w:hAnsi="Times New Roman" w:eastAsia="仿宋_GB2312"/>
          <w:b/>
          <w:bCs/>
          <w:sz w:val="32"/>
          <w:lang w:val="en-US" w:eastAsia="zh-CN"/>
        </w:rPr>
        <w:t>1</w:t>
      </w:r>
      <w:r>
        <w:rPr>
          <w:rFonts w:hint="eastAsia" w:ascii="Times New Roman" w:hAnsi="Times New Roman" w:eastAsia="仿宋_GB2312"/>
          <w:b/>
          <w:bCs/>
          <w:sz w:val="32"/>
        </w:rPr>
        <w:t>）、国际合作与交流中心（</w:t>
      </w:r>
      <w:r>
        <w:rPr>
          <w:rFonts w:hint="eastAsia" w:ascii="Times New Roman" w:hAnsi="Times New Roman" w:eastAsia="仿宋_GB2312"/>
          <w:b/>
          <w:bCs/>
          <w:sz w:val="32"/>
          <w:lang w:val="en-US" w:eastAsia="zh-CN"/>
        </w:rPr>
        <w:t>2</w:t>
      </w:r>
      <w:r>
        <w:rPr>
          <w:rFonts w:hint="eastAsia" w:ascii="Times New Roman" w:hAnsi="Times New Roman" w:eastAsia="仿宋_GB2312"/>
          <w:b/>
          <w:bCs/>
          <w:sz w:val="32"/>
        </w:rPr>
        <w:t>）</w:t>
      </w:r>
    </w:p>
    <w:p w14:paraId="5FB09052">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黑体" w:hAnsi="黑体" w:eastAsia="黑体" w:cs="黑体"/>
          <w:b w:val="0"/>
          <w:bCs w:val="0"/>
          <w:sz w:val="32"/>
        </w:rPr>
      </w:pPr>
      <w:r>
        <w:rPr>
          <w:rFonts w:hint="eastAsia" w:ascii="黑体" w:hAnsi="黑体" w:eastAsia="黑体" w:cs="黑体"/>
          <w:b w:val="0"/>
          <w:bCs w:val="0"/>
          <w:sz w:val="32"/>
        </w:rPr>
        <w:t>七、项目风险及防范管控</w:t>
      </w:r>
    </w:p>
    <w:p w14:paraId="5CFF0424">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lang w:val="en-US" w:eastAsia="zh-CN"/>
        </w:rPr>
        <w:t>1.</w:t>
      </w:r>
      <w:r>
        <w:rPr>
          <w:rFonts w:hint="eastAsia" w:ascii="Times New Roman" w:hAnsi="Times New Roman" w:eastAsia="仿宋_GB2312"/>
          <w:b w:val="0"/>
          <w:bCs w:val="0"/>
          <w:sz w:val="32"/>
        </w:rPr>
        <w:t>政策与法律风险</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rPr>
        <w:t>国内外教育政策、法律法规及认证标准变化的风险及措施。</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lang w:val="en-US" w:eastAsia="zh-CN"/>
        </w:rPr>
        <w:t>500字以内</w:t>
      </w:r>
      <w:r>
        <w:rPr>
          <w:rFonts w:hint="eastAsia" w:ascii="Times New Roman" w:hAnsi="Times New Roman" w:eastAsia="仿宋_GB2312"/>
          <w:b w:val="0"/>
          <w:bCs w:val="0"/>
          <w:sz w:val="32"/>
          <w:lang w:eastAsia="zh-CN"/>
        </w:rPr>
        <w:t>）</w:t>
      </w:r>
    </w:p>
    <w:p w14:paraId="1DD510BA">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lang w:val="en-US" w:eastAsia="zh-CN"/>
        </w:rPr>
        <w:t>2.</w:t>
      </w:r>
      <w:r>
        <w:rPr>
          <w:rFonts w:hint="eastAsia" w:ascii="Times New Roman" w:hAnsi="Times New Roman" w:eastAsia="仿宋_GB2312"/>
          <w:b w:val="0"/>
          <w:bCs w:val="0"/>
          <w:sz w:val="32"/>
        </w:rPr>
        <w:t>办学质量风险</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rPr>
        <w:t>生源质量、师资稳定性、外方资源投入、教学效果不达预期的风险及措施。</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lang w:val="en-US" w:eastAsia="zh-CN"/>
        </w:rPr>
        <w:t>500字以内</w:t>
      </w:r>
      <w:r>
        <w:rPr>
          <w:rFonts w:hint="eastAsia" w:ascii="Times New Roman" w:hAnsi="Times New Roman" w:eastAsia="仿宋_GB2312"/>
          <w:b w:val="0"/>
          <w:bCs w:val="0"/>
          <w:sz w:val="32"/>
          <w:lang w:eastAsia="zh-CN"/>
        </w:rPr>
        <w:t>）</w:t>
      </w:r>
    </w:p>
    <w:p w14:paraId="7DBACE60">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lang w:val="en-US" w:eastAsia="zh-CN"/>
        </w:rPr>
        <w:t>3.</w:t>
      </w:r>
      <w:r>
        <w:rPr>
          <w:rFonts w:hint="eastAsia" w:ascii="Times New Roman" w:hAnsi="Times New Roman" w:eastAsia="仿宋_GB2312"/>
          <w:b w:val="0"/>
          <w:bCs w:val="0"/>
          <w:sz w:val="32"/>
        </w:rPr>
        <w:t>财务与运营风险</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rPr>
        <w:t>招生不足、汇率波动、成本控制等财务风险及措施。</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lang w:val="en-US" w:eastAsia="zh-CN"/>
        </w:rPr>
        <w:t>500字以内</w:t>
      </w:r>
      <w:r>
        <w:rPr>
          <w:rFonts w:hint="eastAsia" w:ascii="Times New Roman" w:hAnsi="Times New Roman" w:eastAsia="仿宋_GB2312"/>
          <w:b w:val="0"/>
          <w:bCs w:val="0"/>
          <w:sz w:val="32"/>
          <w:lang w:eastAsia="zh-CN"/>
        </w:rPr>
        <w:t>）</w:t>
      </w:r>
    </w:p>
    <w:p w14:paraId="4E763896">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lang w:val="en-US" w:eastAsia="zh-CN"/>
        </w:rPr>
        <w:t>4.</w:t>
      </w:r>
      <w:r>
        <w:rPr>
          <w:rFonts w:hint="eastAsia" w:ascii="Times New Roman" w:hAnsi="Times New Roman" w:eastAsia="仿宋_GB2312"/>
          <w:b w:val="0"/>
          <w:bCs w:val="0"/>
          <w:sz w:val="32"/>
        </w:rPr>
        <w:t>跨文化管理风险</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rPr>
        <w:t>理念差异、文化冲突、管理磨合的风险及措施。</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lang w:val="en-US" w:eastAsia="zh-CN"/>
        </w:rPr>
        <w:t>500字以内</w:t>
      </w:r>
      <w:r>
        <w:rPr>
          <w:rFonts w:hint="eastAsia" w:ascii="Times New Roman" w:hAnsi="Times New Roman" w:eastAsia="仿宋_GB2312"/>
          <w:b w:val="0"/>
          <w:bCs w:val="0"/>
          <w:sz w:val="32"/>
          <w:lang w:eastAsia="zh-CN"/>
        </w:rPr>
        <w:t>）</w:t>
      </w:r>
    </w:p>
    <w:p w14:paraId="12CCDADA">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lang w:val="en-US" w:eastAsia="zh-CN"/>
        </w:rPr>
        <w:t>5.</w:t>
      </w:r>
      <w:r>
        <w:rPr>
          <w:rFonts w:hint="eastAsia" w:ascii="Times New Roman" w:hAnsi="Times New Roman" w:eastAsia="仿宋_GB2312"/>
          <w:b w:val="0"/>
          <w:bCs w:val="0"/>
          <w:sz w:val="32"/>
        </w:rPr>
        <w:t>国际环境风险</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rPr>
        <w:t>国际关系、公共卫生等突发事件影响合作的风险及措施。</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lang w:val="en-US" w:eastAsia="zh-CN"/>
        </w:rPr>
        <w:t>500字以内</w:t>
      </w:r>
      <w:r>
        <w:rPr>
          <w:rFonts w:hint="eastAsia" w:ascii="Times New Roman" w:hAnsi="Times New Roman" w:eastAsia="仿宋_GB2312"/>
          <w:b w:val="0"/>
          <w:bCs w:val="0"/>
          <w:sz w:val="32"/>
          <w:lang w:eastAsia="zh-CN"/>
        </w:rPr>
        <w:t>）</w:t>
      </w:r>
    </w:p>
    <w:p w14:paraId="02983F13">
      <w:pPr>
        <w:keepNext w:val="0"/>
        <w:keepLines w:val="0"/>
        <w:pageBreakBefore w:val="0"/>
        <w:kinsoku/>
        <w:wordWrap/>
        <w:overflowPunct/>
        <w:topLinePunct w:val="0"/>
        <w:autoSpaceDE/>
        <w:autoSpaceDN/>
        <w:bidi w:val="0"/>
        <w:adjustRightInd/>
        <w:snapToGrid/>
        <w:spacing w:beforeAutospacing="0" w:afterAutospacing="0"/>
        <w:ind w:firstLine="643" w:firstLineChars="200"/>
        <w:textAlignment w:val="auto"/>
        <w:rPr>
          <w:rFonts w:hint="eastAsia" w:ascii="Times New Roman" w:hAnsi="Times New Roman" w:eastAsia="仿宋_GB2312"/>
          <w:b/>
          <w:bCs/>
          <w:sz w:val="32"/>
          <w:lang w:eastAsia="zh-CN"/>
        </w:rPr>
      </w:pPr>
      <w:r>
        <w:rPr>
          <w:rFonts w:hint="eastAsia" w:ascii="Times New Roman" w:hAnsi="Times New Roman" w:eastAsia="仿宋_GB2312"/>
          <w:b/>
          <w:bCs/>
          <w:sz w:val="32"/>
        </w:rPr>
        <w:t>负责单位：国际合作与交流中心</w:t>
      </w:r>
      <w:r>
        <w:rPr>
          <w:rFonts w:hint="eastAsia" w:ascii="Times New Roman" w:hAnsi="Times New Roman" w:eastAsia="仿宋_GB2312"/>
          <w:b/>
          <w:bCs/>
          <w:sz w:val="32"/>
          <w:lang w:eastAsia="zh-CN"/>
        </w:rPr>
        <w:t>（</w:t>
      </w:r>
      <w:r>
        <w:rPr>
          <w:rFonts w:hint="eastAsia" w:ascii="Times New Roman" w:hAnsi="Times New Roman" w:eastAsia="仿宋_GB2312"/>
          <w:b/>
          <w:bCs/>
          <w:sz w:val="32"/>
          <w:lang w:val="en-US" w:eastAsia="zh-CN"/>
        </w:rPr>
        <w:t>1、4、5</w:t>
      </w:r>
      <w:r>
        <w:rPr>
          <w:rFonts w:hint="eastAsia" w:ascii="Times New Roman" w:hAnsi="Times New Roman" w:eastAsia="仿宋_GB2312"/>
          <w:b/>
          <w:bCs/>
          <w:sz w:val="32"/>
          <w:lang w:eastAsia="zh-CN"/>
        </w:rPr>
        <w:t>）、</w:t>
      </w:r>
      <w:r>
        <w:rPr>
          <w:rFonts w:hint="eastAsia" w:ascii="Times New Roman" w:hAnsi="Times New Roman" w:eastAsia="仿宋_GB2312"/>
          <w:b/>
          <w:bCs/>
          <w:sz w:val="32"/>
        </w:rPr>
        <w:t>教务处</w:t>
      </w:r>
      <w:r>
        <w:rPr>
          <w:rFonts w:hint="eastAsia" w:ascii="Times New Roman" w:hAnsi="Times New Roman" w:eastAsia="仿宋_GB2312"/>
          <w:b/>
          <w:bCs/>
          <w:sz w:val="32"/>
          <w:lang w:val="en-US" w:eastAsia="zh-CN"/>
        </w:rPr>
        <w:t>牵头</w:t>
      </w:r>
      <w:r>
        <w:rPr>
          <w:rFonts w:hint="eastAsia" w:ascii="Times New Roman" w:hAnsi="Times New Roman" w:eastAsia="仿宋_GB2312"/>
          <w:b/>
          <w:bCs/>
          <w:sz w:val="32"/>
        </w:rPr>
        <w:t>、评估中心</w:t>
      </w:r>
      <w:r>
        <w:rPr>
          <w:rFonts w:hint="eastAsia" w:ascii="Times New Roman" w:hAnsi="Times New Roman" w:eastAsia="仿宋_GB2312"/>
          <w:b/>
          <w:bCs/>
          <w:sz w:val="32"/>
          <w:lang w:eastAsia="zh-CN"/>
        </w:rPr>
        <w:t>和</w:t>
      </w:r>
      <w:r>
        <w:rPr>
          <w:rFonts w:hint="eastAsia" w:ascii="Times New Roman" w:hAnsi="Times New Roman" w:eastAsia="仿宋_GB2312"/>
          <w:b/>
          <w:bCs/>
          <w:sz w:val="32"/>
        </w:rPr>
        <w:t>信息与电气工程学院</w:t>
      </w:r>
      <w:r>
        <w:rPr>
          <w:rFonts w:hint="eastAsia" w:ascii="Times New Roman" w:hAnsi="Times New Roman" w:eastAsia="仿宋_GB2312"/>
          <w:b/>
          <w:bCs/>
          <w:sz w:val="32"/>
          <w:lang w:eastAsia="zh-CN"/>
        </w:rPr>
        <w:t>（</w:t>
      </w:r>
      <w:r>
        <w:rPr>
          <w:rFonts w:hint="eastAsia" w:ascii="Times New Roman" w:hAnsi="Times New Roman" w:eastAsia="仿宋_GB2312"/>
          <w:b/>
          <w:bCs/>
          <w:sz w:val="32"/>
          <w:lang w:val="en-US" w:eastAsia="zh-CN"/>
        </w:rPr>
        <w:t>2</w:t>
      </w:r>
      <w:r>
        <w:rPr>
          <w:rFonts w:hint="eastAsia" w:ascii="Times New Roman" w:hAnsi="Times New Roman" w:eastAsia="仿宋_GB2312"/>
          <w:b/>
          <w:bCs/>
          <w:sz w:val="32"/>
          <w:lang w:eastAsia="zh-CN"/>
        </w:rPr>
        <w:t>）、</w:t>
      </w:r>
      <w:r>
        <w:rPr>
          <w:rFonts w:hint="eastAsia" w:ascii="Times New Roman" w:hAnsi="Times New Roman" w:eastAsia="仿宋_GB2312"/>
          <w:b/>
          <w:bCs/>
          <w:sz w:val="32"/>
        </w:rPr>
        <w:t>计划财务处</w:t>
      </w:r>
      <w:r>
        <w:rPr>
          <w:rFonts w:hint="eastAsia" w:ascii="Times New Roman" w:hAnsi="Times New Roman" w:eastAsia="仿宋_GB2312"/>
          <w:b/>
          <w:bCs/>
          <w:sz w:val="32"/>
          <w:lang w:eastAsia="zh-CN"/>
        </w:rPr>
        <w:t>（</w:t>
      </w:r>
      <w:r>
        <w:rPr>
          <w:rFonts w:hint="eastAsia" w:ascii="Times New Roman" w:hAnsi="Times New Roman" w:eastAsia="仿宋_GB2312"/>
          <w:b/>
          <w:bCs/>
          <w:sz w:val="32"/>
          <w:lang w:val="en-US" w:eastAsia="zh-CN"/>
        </w:rPr>
        <w:t>3</w:t>
      </w:r>
      <w:r>
        <w:rPr>
          <w:rFonts w:hint="eastAsia" w:ascii="Times New Roman" w:hAnsi="Times New Roman" w:eastAsia="仿宋_GB2312"/>
          <w:b/>
          <w:bCs/>
          <w:sz w:val="32"/>
          <w:lang w:eastAsia="zh-CN"/>
        </w:rPr>
        <w:t>）</w:t>
      </w:r>
    </w:p>
    <w:p w14:paraId="213D9A65">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lang w:eastAsia="zh-CN"/>
        </w:rPr>
      </w:pPr>
      <w:r>
        <w:rPr>
          <w:rFonts w:hint="eastAsia" w:ascii="Times New Roman" w:hAnsi="Times New Roman" w:eastAsia="仿宋_GB2312"/>
          <w:b w:val="0"/>
          <w:bCs w:val="0"/>
          <w:sz w:val="32"/>
        </w:rPr>
        <w:t>请各相关单位针对以下风险，提出具体、可操作的防范与应对措施</w:t>
      </w:r>
      <w:r>
        <w:rPr>
          <w:rFonts w:hint="eastAsia" w:ascii="Times New Roman" w:hAnsi="Times New Roman" w:eastAsia="仿宋_GB2312"/>
          <w:b w:val="0"/>
          <w:bCs w:val="0"/>
          <w:sz w:val="32"/>
          <w:lang w:eastAsia="zh-CN"/>
        </w:rPr>
        <w:t>。</w:t>
      </w:r>
    </w:p>
    <w:p w14:paraId="6F6C7450">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黑体" w:hAnsi="黑体" w:eastAsia="黑体" w:cs="黑体"/>
          <w:b w:val="0"/>
          <w:bCs w:val="0"/>
          <w:sz w:val="32"/>
        </w:rPr>
      </w:pPr>
      <w:r>
        <w:rPr>
          <w:rFonts w:hint="eastAsia" w:ascii="黑体" w:hAnsi="黑体" w:eastAsia="黑体" w:cs="黑体"/>
          <w:b w:val="0"/>
          <w:bCs w:val="0"/>
          <w:sz w:val="32"/>
        </w:rPr>
        <w:t>八、社会效益与影响分析</w:t>
      </w:r>
    </w:p>
    <w:p w14:paraId="4AB32277">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lang w:val="en-US" w:eastAsia="zh-CN"/>
        </w:rPr>
        <w:t>1.</w:t>
      </w:r>
      <w:r>
        <w:rPr>
          <w:rFonts w:hint="eastAsia" w:ascii="Times New Roman" w:hAnsi="Times New Roman" w:eastAsia="仿宋_GB2312"/>
          <w:b w:val="0"/>
          <w:bCs w:val="0"/>
          <w:sz w:val="32"/>
        </w:rPr>
        <w:t>教育与社会效益</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rPr>
        <w:t>对丰富区域高等教育供给、促进教育公平与创新的贡献。</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lang w:val="en-US" w:eastAsia="zh-CN"/>
        </w:rPr>
        <w:t>300字以内</w:t>
      </w:r>
      <w:r>
        <w:rPr>
          <w:rFonts w:hint="eastAsia" w:ascii="Times New Roman" w:hAnsi="Times New Roman" w:eastAsia="仿宋_GB2312"/>
          <w:b w:val="0"/>
          <w:bCs w:val="0"/>
          <w:sz w:val="32"/>
          <w:lang w:eastAsia="zh-CN"/>
        </w:rPr>
        <w:t>）</w:t>
      </w:r>
    </w:p>
    <w:p w14:paraId="643A421A">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lang w:val="en-US" w:eastAsia="zh-CN"/>
        </w:rPr>
        <w:t>2.</w:t>
      </w:r>
      <w:r>
        <w:rPr>
          <w:rFonts w:hint="eastAsia" w:ascii="Times New Roman" w:hAnsi="Times New Roman" w:eastAsia="仿宋_GB2312"/>
          <w:b w:val="0"/>
          <w:bCs w:val="0"/>
          <w:sz w:val="32"/>
        </w:rPr>
        <w:t>对行业人才供给</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rPr>
        <w:t>对缓解大数据产业人才紧缺状况</w:t>
      </w:r>
      <w:r>
        <w:rPr>
          <w:rFonts w:hint="eastAsia" w:ascii="Times New Roman" w:hAnsi="Times New Roman" w:eastAsia="仿宋_GB2312"/>
          <w:b w:val="0"/>
          <w:bCs w:val="0"/>
          <w:sz w:val="32"/>
          <w:lang w:eastAsia="zh-CN"/>
        </w:rPr>
        <w:t>的</w:t>
      </w:r>
      <w:r>
        <w:rPr>
          <w:rFonts w:hint="eastAsia" w:ascii="Times New Roman" w:hAnsi="Times New Roman" w:eastAsia="仿宋_GB2312"/>
          <w:b w:val="0"/>
          <w:bCs w:val="0"/>
          <w:sz w:val="32"/>
        </w:rPr>
        <w:t>积极作用。</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lang w:val="en-US" w:eastAsia="zh-CN"/>
        </w:rPr>
        <w:t>300字以内</w:t>
      </w:r>
      <w:r>
        <w:rPr>
          <w:rFonts w:hint="eastAsia" w:ascii="Times New Roman" w:hAnsi="Times New Roman" w:eastAsia="仿宋_GB2312"/>
          <w:b w:val="0"/>
          <w:bCs w:val="0"/>
          <w:sz w:val="32"/>
          <w:lang w:eastAsia="zh-CN"/>
        </w:rPr>
        <w:t>）</w:t>
      </w:r>
    </w:p>
    <w:p w14:paraId="56E98932">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lang w:val="en-US" w:eastAsia="zh-CN"/>
        </w:rPr>
        <w:t>3.</w:t>
      </w:r>
      <w:r>
        <w:rPr>
          <w:rFonts w:hint="eastAsia" w:ascii="Times New Roman" w:hAnsi="Times New Roman" w:eastAsia="仿宋_GB2312"/>
          <w:b w:val="0"/>
          <w:bCs w:val="0"/>
          <w:sz w:val="32"/>
        </w:rPr>
        <w:t>对学生个人发展</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rPr>
        <w:t>为学生提供的国际化成长平台与就业竞争优势。</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lang w:val="en-US" w:eastAsia="zh-CN"/>
        </w:rPr>
        <w:t>300字以内</w:t>
      </w:r>
      <w:r>
        <w:rPr>
          <w:rFonts w:hint="eastAsia" w:ascii="Times New Roman" w:hAnsi="Times New Roman" w:eastAsia="仿宋_GB2312"/>
          <w:b w:val="0"/>
          <w:bCs w:val="0"/>
          <w:sz w:val="32"/>
          <w:lang w:eastAsia="zh-CN"/>
        </w:rPr>
        <w:t>）</w:t>
      </w:r>
    </w:p>
    <w:p w14:paraId="131358C7">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lang w:val="en-US" w:eastAsia="zh-CN"/>
        </w:rPr>
        <w:t>4.</w:t>
      </w:r>
      <w:r>
        <w:rPr>
          <w:rFonts w:hint="eastAsia" w:ascii="Times New Roman" w:hAnsi="Times New Roman" w:eastAsia="仿宋_GB2312"/>
          <w:b w:val="0"/>
          <w:bCs w:val="0"/>
          <w:sz w:val="32"/>
        </w:rPr>
        <w:t>对专业学科建设</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rPr>
        <w:t>对带动本校相关专业群建设、课程改革的辐射效应。</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lang w:val="en-US" w:eastAsia="zh-CN"/>
        </w:rPr>
        <w:t>300字以内</w:t>
      </w:r>
      <w:r>
        <w:rPr>
          <w:rFonts w:hint="eastAsia" w:ascii="Times New Roman" w:hAnsi="Times New Roman" w:eastAsia="仿宋_GB2312"/>
          <w:b w:val="0"/>
          <w:bCs w:val="0"/>
          <w:sz w:val="32"/>
          <w:lang w:eastAsia="zh-CN"/>
        </w:rPr>
        <w:t>）</w:t>
      </w:r>
    </w:p>
    <w:p w14:paraId="0AF119C2">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lang w:val="en-US" w:eastAsia="zh-CN"/>
        </w:rPr>
        <w:t>5.</w:t>
      </w:r>
      <w:r>
        <w:rPr>
          <w:rFonts w:hint="eastAsia" w:ascii="Times New Roman" w:hAnsi="Times New Roman" w:eastAsia="仿宋_GB2312"/>
          <w:b w:val="0"/>
          <w:bCs w:val="0"/>
          <w:sz w:val="32"/>
        </w:rPr>
        <w:t>对科研合作</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rPr>
        <w:t>促进两校在科研领域的合作与协同创新。</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lang w:val="en-US" w:eastAsia="zh-CN"/>
        </w:rPr>
        <w:t>300字以内</w:t>
      </w:r>
      <w:r>
        <w:rPr>
          <w:rFonts w:hint="eastAsia" w:ascii="Times New Roman" w:hAnsi="Times New Roman" w:eastAsia="仿宋_GB2312"/>
          <w:b w:val="0"/>
          <w:bCs w:val="0"/>
          <w:sz w:val="32"/>
          <w:lang w:eastAsia="zh-CN"/>
        </w:rPr>
        <w:t>）</w:t>
      </w:r>
    </w:p>
    <w:p w14:paraId="0DAADBFD">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lang w:val="en-US" w:eastAsia="zh-CN"/>
        </w:rPr>
        <w:t>6.</w:t>
      </w:r>
      <w:r>
        <w:rPr>
          <w:rFonts w:hint="eastAsia" w:ascii="Times New Roman" w:hAnsi="Times New Roman" w:eastAsia="仿宋_GB2312"/>
          <w:b w:val="0"/>
          <w:bCs w:val="0"/>
          <w:sz w:val="32"/>
        </w:rPr>
        <w:t>对文化交流</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rPr>
        <w:t>增进中马文化交流与理解的桥梁作用。</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lang w:val="en-US" w:eastAsia="zh-CN"/>
        </w:rPr>
        <w:t>300字以内</w:t>
      </w:r>
      <w:r>
        <w:rPr>
          <w:rFonts w:hint="eastAsia" w:ascii="Times New Roman" w:hAnsi="Times New Roman" w:eastAsia="仿宋_GB2312"/>
          <w:b w:val="0"/>
          <w:bCs w:val="0"/>
          <w:sz w:val="32"/>
          <w:lang w:eastAsia="zh-CN"/>
        </w:rPr>
        <w:t>）</w:t>
      </w:r>
    </w:p>
    <w:p w14:paraId="3A1CB498">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lang w:val="en-US" w:eastAsia="zh-CN"/>
        </w:rPr>
        <w:t>7.</w:t>
      </w:r>
      <w:r>
        <w:rPr>
          <w:rFonts w:hint="eastAsia" w:ascii="Times New Roman" w:hAnsi="Times New Roman" w:eastAsia="仿宋_GB2312"/>
          <w:b w:val="0"/>
          <w:bCs w:val="0"/>
          <w:sz w:val="32"/>
        </w:rPr>
        <w:t>对学校国际影响力</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rPr>
        <w:t>对提升学校国际知名度与竞争力的推动。</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lang w:val="en-US" w:eastAsia="zh-CN"/>
        </w:rPr>
        <w:t>300字以内</w:t>
      </w:r>
      <w:r>
        <w:rPr>
          <w:rFonts w:hint="eastAsia" w:ascii="Times New Roman" w:hAnsi="Times New Roman" w:eastAsia="仿宋_GB2312"/>
          <w:b w:val="0"/>
          <w:bCs w:val="0"/>
          <w:sz w:val="32"/>
          <w:lang w:eastAsia="zh-CN"/>
        </w:rPr>
        <w:t>）</w:t>
      </w:r>
    </w:p>
    <w:p w14:paraId="5FC18B6F">
      <w:pPr>
        <w:keepNext w:val="0"/>
        <w:keepLines w:val="0"/>
        <w:pageBreakBefore w:val="0"/>
        <w:kinsoku/>
        <w:wordWrap/>
        <w:overflowPunct/>
        <w:topLinePunct w:val="0"/>
        <w:autoSpaceDE/>
        <w:autoSpaceDN/>
        <w:bidi w:val="0"/>
        <w:adjustRightInd/>
        <w:snapToGrid/>
        <w:spacing w:beforeAutospacing="0" w:afterAutospacing="0"/>
        <w:ind w:firstLine="643" w:firstLineChars="200"/>
        <w:textAlignment w:val="auto"/>
        <w:rPr>
          <w:rFonts w:hint="eastAsia" w:ascii="Times New Roman" w:hAnsi="Times New Roman" w:eastAsia="仿宋_GB2312"/>
          <w:b/>
          <w:bCs/>
          <w:sz w:val="32"/>
        </w:rPr>
      </w:pPr>
      <w:r>
        <w:rPr>
          <w:rFonts w:hint="eastAsia" w:ascii="Times New Roman" w:hAnsi="Times New Roman" w:eastAsia="仿宋_GB2312"/>
          <w:b/>
          <w:bCs/>
          <w:sz w:val="32"/>
        </w:rPr>
        <w:t>负责单位：国际合作与交流中心（1、6、7）、信息与电气工程学院（2、3、4、5）</w:t>
      </w:r>
    </w:p>
    <w:p w14:paraId="59018CFE">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黑体" w:hAnsi="黑体" w:eastAsia="黑体" w:cs="黑体"/>
          <w:b w:val="0"/>
          <w:bCs w:val="0"/>
          <w:sz w:val="32"/>
        </w:rPr>
      </w:pPr>
      <w:r>
        <w:rPr>
          <w:rFonts w:hint="eastAsia" w:ascii="黑体" w:hAnsi="黑体" w:eastAsia="黑体" w:cs="黑体"/>
          <w:b w:val="0"/>
          <w:bCs w:val="0"/>
          <w:sz w:val="32"/>
        </w:rPr>
        <w:t>九、结论与建议</w:t>
      </w:r>
    </w:p>
    <w:p w14:paraId="0569E7E8">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lang w:val="en-US" w:eastAsia="zh-CN"/>
        </w:rPr>
        <w:t>1.</w:t>
      </w:r>
      <w:r>
        <w:rPr>
          <w:rFonts w:hint="eastAsia" w:ascii="Times New Roman" w:hAnsi="Times New Roman" w:eastAsia="仿宋_GB2312"/>
          <w:b w:val="0"/>
          <w:bCs w:val="0"/>
          <w:sz w:val="32"/>
        </w:rPr>
        <w:t>可行性结论</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rPr>
        <w:t>综合前述分析，从政策合规性、需求紧迫性、基础可靠性、方案科学性及风险可控性等方面，明确提出项目具备可行性，并总结其核心价值与预期成效。</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lang w:val="en-US" w:eastAsia="zh-CN"/>
        </w:rPr>
        <w:t>300字以内</w:t>
      </w:r>
      <w:r>
        <w:rPr>
          <w:rFonts w:hint="eastAsia" w:ascii="Times New Roman" w:hAnsi="Times New Roman" w:eastAsia="仿宋_GB2312"/>
          <w:b w:val="0"/>
          <w:bCs w:val="0"/>
          <w:sz w:val="32"/>
          <w:lang w:eastAsia="zh-CN"/>
        </w:rPr>
        <w:t>）</w:t>
      </w:r>
    </w:p>
    <w:p w14:paraId="06CA0341">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lang w:val="en-US" w:eastAsia="zh-CN"/>
        </w:rPr>
        <w:t>2.</w:t>
      </w:r>
      <w:r>
        <w:rPr>
          <w:rFonts w:hint="eastAsia" w:ascii="Times New Roman" w:hAnsi="Times New Roman" w:eastAsia="仿宋_GB2312"/>
          <w:b w:val="0"/>
          <w:bCs w:val="0"/>
          <w:sz w:val="32"/>
        </w:rPr>
        <w:t>申请建议</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rPr>
        <w:t>明确项目申报的后续工作步骤、时间安排及所需学校提供的保障与支持。</w:t>
      </w:r>
      <w:r>
        <w:rPr>
          <w:rFonts w:hint="eastAsia" w:ascii="Times New Roman" w:hAnsi="Times New Roman" w:eastAsia="仿宋_GB2312"/>
          <w:b w:val="0"/>
          <w:bCs w:val="0"/>
          <w:sz w:val="32"/>
          <w:lang w:eastAsia="zh-CN"/>
        </w:rPr>
        <w:t>（</w:t>
      </w:r>
      <w:r>
        <w:rPr>
          <w:rFonts w:hint="eastAsia" w:ascii="Times New Roman" w:hAnsi="Times New Roman" w:eastAsia="仿宋_GB2312"/>
          <w:b w:val="0"/>
          <w:bCs w:val="0"/>
          <w:sz w:val="32"/>
          <w:lang w:val="en-US" w:eastAsia="zh-CN"/>
        </w:rPr>
        <w:t>300字以内</w:t>
      </w:r>
      <w:r>
        <w:rPr>
          <w:rFonts w:hint="eastAsia" w:ascii="Times New Roman" w:hAnsi="Times New Roman" w:eastAsia="仿宋_GB2312"/>
          <w:b w:val="0"/>
          <w:bCs w:val="0"/>
          <w:sz w:val="32"/>
          <w:lang w:eastAsia="zh-CN"/>
        </w:rPr>
        <w:t>）</w:t>
      </w:r>
    </w:p>
    <w:p w14:paraId="7A6321CB">
      <w:pPr>
        <w:keepNext w:val="0"/>
        <w:keepLines w:val="0"/>
        <w:pageBreakBefore w:val="0"/>
        <w:kinsoku/>
        <w:wordWrap/>
        <w:overflowPunct/>
        <w:topLinePunct w:val="0"/>
        <w:autoSpaceDE/>
        <w:autoSpaceDN/>
        <w:bidi w:val="0"/>
        <w:adjustRightInd/>
        <w:snapToGrid/>
        <w:spacing w:beforeAutospacing="0" w:afterAutospacing="0"/>
        <w:ind w:firstLine="643" w:firstLineChars="200"/>
        <w:textAlignment w:val="auto"/>
        <w:rPr>
          <w:rFonts w:hint="eastAsia" w:ascii="Times New Roman" w:hAnsi="Times New Roman" w:eastAsia="仿宋_GB2312"/>
          <w:b/>
          <w:bCs/>
          <w:sz w:val="32"/>
        </w:rPr>
      </w:pPr>
      <w:r>
        <w:rPr>
          <w:rFonts w:hint="eastAsia" w:ascii="Times New Roman" w:hAnsi="Times New Roman" w:eastAsia="仿宋_GB2312"/>
          <w:b/>
          <w:bCs/>
          <w:sz w:val="32"/>
        </w:rPr>
        <w:t>负责单位：国际合作与交流中心</w:t>
      </w:r>
    </w:p>
    <w:p w14:paraId="6A67FB2E">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黑体" w:hAnsi="黑体" w:eastAsia="黑体" w:cs="黑体"/>
          <w:b w:val="0"/>
          <w:bCs w:val="0"/>
          <w:sz w:val="32"/>
        </w:rPr>
      </w:pPr>
      <w:r>
        <w:rPr>
          <w:rFonts w:hint="eastAsia" w:ascii="黑体" w:hAnsi="黑体" w:eastAsia="黑体" w:cs="黑体"/>
          <w:b w:val="0"/>
          <w:bCs w:val="0"/>
          <w:sz w:val="32"/>
        </w:rPr>
        <w:t>十、附件清单</w:t>
      </w:r>
    </w:p>
    <w:p w14:paraId="470687A3">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rPr>
        <w:t>列出需附上的关键支持性文件清单，如合作协议草案、外方资质证明、课程对照表等</w:t>
      </w:r>
    </w:p>
    <w:p w14:paraId="7A4D3F21">
      <w:pPr>
        <w:keepNext w:val="0"/>
        <w:keepLines w:val="0"/>
        <w:pageBreakBefore w:val="0"/>
        <w:kinsoku/>
        <w:wordWrap/>
        <w:overflowPunct/>
        <w:topLinePunct w:val="0"/>
        <w:autoSpaceDE/>
        <w:autoSpaceDN/>
        <w:bidi w:val="0"/>
        <w:adjustRightInd/>
        <w:snapToGrid/>
        <w:spacing w:beforeAutospacing="0" w:afterAutospacing="0"/>
        <w:ind w:firstLine="643" w:firstLineChars="200"/>
        <w:textAlignment w:val="auto"/>
        <w:rPr>
          <w:rFonts w:hint="eastAsia" w:ascii="Times New Roman" w:hAnsi="Times New Roman" w:eastAsia="仿宋_GB2312"/>
          <w:b/>
          <w:bCs/>
          <w:sz w:val="32"/>
          <w:lang w:eastAsia="zh-CN"/>
        </w:rPr>
      </w:pPr>
      <w:r>
        <w:rPr>
          <w:rFonts w:hint="eastAsia" w:ascii="Times New Roman" w:hAnsi="Times New Roman" w:eastAsia="仿宋_GB2312"/>
          <w:b/>
          <w:bCs/>
          <w:sz w:val="32"/>
        </w:rPr>
        <w:t>负责单位：</w:t>
      </w:r>
      <w:r>
        <w:rPr>
          <w:rFonts w:hint="eastAsia" w:ascii="Times New Roman" w:hAnsi="Times New Roman" w:eastAsia="仿宋_GB2312"/>
          <w:b/>
          <w:bCs/>
          <w:sz w:val="32"/>
          <w:lang w:eastAsia="zh-CN"/>
        </w:rPr>
        <w:t>所有相关单位</w:t>
      </w:r>
    </w:p>
    <w:p w14:paraId="485B11D9">
      <w:pPr>
        <w:keepNext w:val="0"/>
        <w:keepLines w:val="0"/>
        <w:pageBreakBefore w:val="0"/>
        <w:kinsoku/>
        <w:wordWrap/>
        <w:overflowPunct/>
        <w:topLinePunct w:val="0"/>
        <w:autoSpaceDE/>
        <w:autoSpaceDN/>
        <w:bidi w:val="0"/>
        <w:adjustRightInd/>
        <w:snapToGrid/>
        <w:spacing w:beforeAutospacing="0" w:afterAutospacing="0"/>
        <w:ind w:firstLine="643" w:firstLineChars="200"/>
        <w:textAlignment w:val="auto"/>
        <w:rPr>
          <w:rFonts w:hint="eastAsia" w:ascii="Times New Roman" w:hAnsi="Times New Roman" w:eastAsia="仿宋_GB2312"/>
          <w:b/>
          <w:bCs/>
          <w:sz w:val="32"/>
        </w:rPr>
      </w:pPr>
    </w:p>
    <w:p w14:paraId="4FBE647F">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rPr>
        <w:t>说明：请各相关单位根据本提纲要求，撰写所负责章节的具体内容。撰写时请注意：</w:t>
      </w:r>
    </w:p>
    <w:p w14:paraId="59ACCC23">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rPr>
        <w:t>1.数据准确、详实、最新；</w:t>
      </w:r>
    </w:p>
    <w:p w14:paraId="16974232">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rPr>
        <w:t>2.论述紧扣“数据科学与大数据技术”专业特色及两校合作优势；</w:t>
      </w:r>
    </w:p>
    <w:p w14:paraId="7434DA01">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rPr>
      </w:pPr>
      <w:r>
        <w:rPr>
          <w:rFonts w:hint="eastAsia" w:ascii="Times New Roman" w:hAnsi="Times New Roman" w:eastAsia="仿宋_GB2312"/>
          <w:b w:val="0"/>
          <w:bCs w:val="0"/>
          <w:sz w:val="32"/>
        </w:rPr>
        <w:t>3.语言表述严谨、精炼、规范；</w:t>
      </w:r>
    </w:p>
    <w:p w14:paraId="2337B849">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lang w:eastAsia="zh-CN"/>
        </w:rPr>
      </w:pPr>
      <w:r>
        <w:rPr>
          <w:rFonts w:hint="eastAsia" w:ascii="Times New Roman" w:hAnsi="Times New Roman" w:eastAsia="仿宋_GB2312"/>
          <w:b w:val="0"/>
          <w:bCs w:val="0"/>
          <w:sz w:val="32"/>
        </w:rPr>
        <w:t>4.各部分内容需相互衔接，避免矛盾与简单重复</w:t>
      </w:r>
      <w:r>
        <w:rPr>
          <w:rFonts w:hint="eastAsia" w:ascii="Times New Roman" w:hAnsi="Times New Roman" w:eastAsia="仿宋_GB2312"/>
          <w:b w:val="0"/>
          <w:bCs w:val="0"/>
          <w:sz w:val="32"/>
          <w:lang w:eastAsia="zh-CN"/>
        </w:rPr>
        <w:t>；</w:t>
      </w:r>
    </w:p>
    <w:p w14:paraId="4E2DCFB5">
      <w:pPr>
        <w:keepNext w:val="0"/>
        <w:keepLines w:val="0"/>
        <w:pageBreakBefore w:val="0"/>
        <w:kinsoku/>
        <w:wordWrap/>
        <w:overflowPunct/>
        <w:topLinePunct w:val="0"/>
        <w:autoSpaceDE/>
        <w:autoSpaceDN/>
        <w:bidi w:val="0"/>
        <w:adjustRightInd/>
        <w:snapToGrid/>
        <w:spacing w:beforeAutospacing="0" w:afterAutospacing="0"/>
        <w:ind w:firstLine="640" w:firstLineChars="200"/>
        <w:textAlignment w:val="auto"/>
        <w:rPr>
          <w:rFonts w:hint="eastAsia" w:ascii="Times New Roman" w:hAnsi="Times New Roman" w:eastAsia="仿宋_GB2312"/>
          <w:b w:val="0"/>
          <w:bCs w:val="0"/>
          <w:sz w:val="32"/>
          <w:lang w:eastAsia="zh-CN"/>
        </w:rPr>
      </w:pPr>
      <w:r>
        <w:rPr>
          <w:rFonts w:hint="eastAsia" w:ascii="Times New Roman" w:hAnsi="Times New Roman" w:eastAsia="仿宋_GB2312"/>
          <w:b w:val="0"/>
          <w:bCs w:val="0"/>
          <w:sz w:val="32"/>
          <w:lang w:val="en-US" w:eastAsia="zh-CN"/>
        </w:rPr>
        <w:t>5.模板仅供参考，可以</w:t>
      </w:r>
      <w:r>
        <w:rPr>
          <w:rFonts w:hint="default" w:ascii="Times New Roman" w:hAnsi="Times New Roman" w:eastAsia="仿宋_GB2312" w:cs="Segoe UI"/>
          <w:b w:val="0"/>
          <w:bCs w:val="0"/>
          <w:i w:val="0"/>
          <w:iCs w:val="0"/>
          <w:caps w:val="0"/>
          <w:color w:val="0F1115"/>
          <w:spacing w:val="0"/>
          <w:sz w:val="32"/>
          <w:szCs w:val="24"/>
          <w:shd w:val="clear" w:fill="FFFFFF"/>
        </w:rPr>
        <w:t>根据实际工作对部分内容进行适当调整</w:t>
      </w:r>
      <w:r>
        <w:rPr>
          <w:rFonts w:hint="eastAsia" w:ascii="Times New Roman" w:hAnsi="Times New Roman" w:eastAsia="仿宋_GB2312" w:cs="Segoe UI"/>
          <w:b w:val="0"/>
          <w:bCs w:val="0"/>
          <w:i w:val="0"/>
          <w:iCs w:val="0"/>
          <w:caps w:val="0"/>
          <w:color w:val="0F1115"/>
          <w:spacing w:val="0"/>
          <w:sz w:val="32"/>
          <w:szCs w:val="24"/>
          <w:shd w:val="clear" w:fill="FFFFFF"/>
          <w:lang w:eastAsia="zh-CN"/>
        </w:rPr>
        <w:t>。</w:t>
      </w:r>
    </w:p>
    <w:p w14:paraId="645E1E91">
      <w:pPr>
        <w:keepNext w:val="0"/>
        <w:keepLines w:val="0"/>
        <w:pageBreakBefore w:val="0"/>
        <w:kinsoku/>
        <w:wordWrap/>
        <w:overflowPunct/>
        <w:topLinePunct w:val="0"/>
        <w:autoSpaceDE/>
        <w:autoSpaceDN/>
        <w:bidi w:val="0"/>
        <w:adjustRightInd/>
        <w:snapToGrid/>
        <w:spacing w:beforeAutospacing="0" w:afterAutospacing="0"/>
        <w:ind w:firstLine="643" w:firstLineChars="200"/>
        <w:textAlignment w:val="auto"/>
        <w:rPr>
          <w:rFonts w:hint="eastAsia" w:ascii="Times New Roman" w:hAnsi="Times New Roman" w:eastAsia="仿宋_GB2312"/>
          <w:b/>
          <w:bCs/>
          <w:sz w:val="32"/>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16725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9796499">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49796499">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84162A"/>
    <w:rsid w:val="0D84162A"/>
    <w:rsid w:val="1F1055C7"/>
    <w:rsid w:val="20E06A7D"/>
    <w:rsid w:val="27C66D50"/>
    <w:rsid w:val="3AA0066F"/>
    <w:rsid w:val="415A7EE6"/>
    <w:rsid w:val="50CD4E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rPr>
      <w:sz w:val="24"/>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303155af-5d6c-47fd-ae57-706c70af27d1</errorID>
      <errorWord>明</errorWord>
      <group>L1_Word</group>
      <groupName>字词问题</groupName>
      <ability>L2_Typo</ability>
      <abilityName>字词错误</abilityName>
      <candidateList>
        <item>明了</item>
      </candidateList>
      <explain/>
      <paraID>6238BE78</paraID>
      <start>8</start>
      <end>9</end>
      <status>unmodified</status>
      <modifiedWord/>
      <trackRevisions>false</trackRevisions>
    </reviewItem>
    <reviewItem>
      <errorID>a4e2a35b-7260-41d1-a9cc-0770de076042</errorID>
      <errorWord>。</errorWord>
      <group>L1_Grammar</group>
      <groupName>语法问题</groupName>
      <ability>L2_Missing</ability>
      <abilityName>成分残缺</abilityName>
      <candidateList>
        <item>的目标。</item>
      </candidateList>
      <explain>句子中可能存在主谓宾、修饰语或者必要的词语残缺。</explain>
      <paraID>4A6AA47B</paraID>
      <start>66</start>
      <end>67</end>
      <status>unmodified</status>
      <modifiedWord/>
      <trackRevisions>false</trackRevisions>
    </reviewItem>
    <reviewItem>
      <errorID>5fc4f341-2d03-47da-ad17-f3095aa57be1</errorID>
      <errorWord>2）、</errorWord>
      <group>L1_Punc</group>
      <groupName>标点问题</groupName>
      <ability>L2_Punc</ability>
      <abilityName>标点符号检查</abilityName>
      <candidateList>
        <item>2）</item>
      </candidateList>
      <explain>根据国标GB/T 15834-2011《标点符号用法》中的4.5.3.3节，带括号的汉字数字或阿拉伯数字表次序时，后面通常不加顿号。如“（一）指导思想”“（二）行动指南”。</explain>
      <paraID>4B674462</paraID>
      <start>17</start>
      <end>20</end>
      <status>unmodified</status>
      <modifiedWord/>
      <trackRevisions>false</trackRevisions>
    </reviewItem>
    <reviewItem>
      <errorID>feed49f5-9e78-48ed-b985-c7fd51a290ee</errorID>
      <errorWord>6）、</errorWord>
      <group>L1_Punc</group>
      <groupName>标点问题</groupName>
      <ability>L2_Punc</ability>
      <abilityName>标点符号检查</abilityName>
      <candidateList>
        <item>6）</item>
      </candidateList>
      <explain>根据国标GB/T 15834-2011《标点符号用法》中的4.5.3.3节，带括号的汉字数字或阿拉伯数字表次序时，后面通常不加顿号。如“（一）指导思想”“（二）行动指南”。</explain>
      <paraID>20552E30</paraID>
      <start>21</start>
      <end>24</end>
      <status>unmodified</status>
      <modifiedWord/>
      <trackRevisions>false</trackRevisions>
    </reviewItem>
    <reviewItem>
      <errorID>1708e427-8c8f-4abd-bdf0-84b5aadbde8d</errorID>
      <errorWord>项目风险及</errorWord>
      <group>L1_Word</group>
      <groupName>字词问题</groupName>
      <ability>L2_Typo</ability>
      <abilityName>字词错误</abilityName>
      <candidateList>
        <item>项目风险</item>
      </candidateList>
      <explain/>
      <paraID>5FB09052</paraID>
      <start>2</start>
      <end>7</end>
      <status>unmodified</status>
      <modifiedWord/>
      <trackRevisions>false</trackRevisions>
    </reviewItem>
    <reviewItem>
      <errorID>0f697a9e-8d22-402f-8afa-3e9fa51f22d1</errorID>
      <errorWord>5）、</errorWord>
      <group>L1_Punc</group>
      <groupName>标点问题</groupName>
      <ability>L2_Punc</ability>
      <abilityName>标点符号检查</abilityName>
      <candidateList>
        <item>5）</item>
      </candidateList>
      <explain>根据国标GB/T 15834-2011《标点符号用法》中的4.5.3.3节，带括号的汉字数字或阿拉伯数字表次序时，后面通常不加顿号。如“（一）指导思想”“（二）行动指南”。</explain>
      <paraID>213D9A65</paraID>
      <start>19</start>
      <end>22</end>
      <status>unmodified</status>
      <modifiedWord/>
      <trackRevisions>false</trackRevisions>
    </reviewItem>
    <reviewItem>
      <errorID>276a4e75-2973-429b-9f07-21de97189fbf</errorID>
      <errorWord>的</errorWord>
      <group>L1_Grammar</group>
      <groupName>语法问题</groupName>
      <ability>L2_Missing</ability>
      <abilityName>成分残缺</abilityName>
      <candidateList>
        <item>具有</item>
      </candidateList>
      <explain>句子中可能存在主谓宾、修饰语或者必要的词语残缺。</explain>
      <paraID>643A421A</paraID>
      <start>24</start>
      <end>25</end>
      <status>unmodified</status>
      <modifiedWord/>
      <trackRevisions>false</trackRevisions>
    </reviewItem>
    <reviewItem>
      <errorID>8ac23c1e-13de-4708-b86a-4e6ef5805c97</errorID>
      <errorWord>.对</errorWord>
      <group>L1_Word</group>
      <groupName>字词问题</groupName>
      <ability>L2_Typo</ability>
      <abilityName>字词错误</abilityName>
      <candidateList>
        <item>.</item>
      </candidateList>
      <explain/>
      <paraID>131358C7</paraID>
      <start>1</start>
      <end>3</end>
      <status>unmodified</status>
      <modifiedWord/>
      <trackRevisions>false</trackRevisions>
    </reviewItem>
    <reviewItem>
      <errorID>f987cbe2-df5c-4b8c-9111-09b4ccecf833</errorID>
      <errorWord>.对</errorWord>
      <group>L1_Word</group>
      <groupName>字词问题</groupName>
      <ability>L2_Typo</ability>
      <abilityName>字词错误</abilityName>
      <candidateList>
        <item>.</item>
      </candidateList>
      <explain/>
      <paraID> AF119C2</paraID>
      <start>1</start>
      <end>3</end>
      <status>unmodified</status>
      <modifiedWord/>
      <trackRevisions>false</trackRevisions>
    </reviewItem>
    <reviewItem>
      <errorID>48cb657c-5d61-4c20-b381-f15a7b38db19</errorID>
      <errorWord>.对</errorWord>
      <group>L1_Word</group>
      <groupName>字词问题</groupName>
      <ability>L2_Typo</ability>
      <abilityName>字词错误</abilityName>
      <candidateList>
        <item>.</item>
      </candidateList>
      <explain/>
      <paraID> DAADBFD</paraID>
      <start>1</start>
      <end>3</end>
      <status>unmodified</status>
      <modifiedWord/>
      <trackRevisions>false</trackRevisions>
    </reviewItem>
    <reviewItem>
      <errorID>c3e73e68-8f62-4aba-aac8-0ea878a83a84</errorID>
      <errorWord>7）、</errorWord>
      <group>L1_Punc</group>
      <groupName>标点问题</groupName>
      <ability>L2_Punc</ability>
      <abilityName>标点符号检查</abilityName>
      <candidateList>
        <item>7）</item>
      </candidateList>
      <explain>根据国标GB/T 15834-2011《标点符号用法》中的4.5.3.3节，带括号的汉字数字或阿拉伯数字表次序时，后面通常不加顿号。如“（一）指导思想”“（二）行动指南”。</explain>
      <paraID>5FC18B6F</paraID>
      <start>19</start>
      <end>22</end>
      <status>unmodified</status>
      <modifiedWord/>
      <trackRevisions>false</trackRevisions>
    </reviewItem>
    <reviewItem>
      <errorID>6e2a1fad-f64a-4ada-910e-cefb68d7b487</errorID>
      <errorWord>详实</errorWord>
      <group>L1_Word</group>
      <groupName>字词问题</groupName>
      <ability>L2_Typo</ability>
      <abilityName>字词错误</abilityName>
      <candidateList>
        <item>翔实</item>
      </candidateList>
      <explain/>
      <paraID>59ACCC23</paraID>
      <start>7</start>
      <end>9</end>
      <status>unmodified</status>
      <modifiedWord/>
      <trackRevisions>false</trackRevisions>
    </reviewItem>
    <reviewItem>
      <errorID>82b01ed4-963d-4ad3-b1dc-df5321cfc256</errorID>
      <errorWord>精炼</errorWord>
      <group>L1_Word</group>
      <groupName>字词问题</groupName>
      <ability>L2_Typo</ability>
      <abilityName>字词错误</abilityName>
      <candidateList>
        <item>精练</item>
      </candidateList>
      <explain/>
      <paraID>7434DA01</paraID>
      <start>9</start>
      <end>11</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a9e349-c1e7-4d3b-af1d-d6ed28d0558b}">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3542</Words>
  <Characters>3598</Characters>
  <Lines>0</Lines>
  <Paragraphs>0</Paragraphs>
  <TotalTime>26</TotalTime>
  <ScaleCrop>false</ScaleCrop>
  <LinksUpToDate>false</LinksUpToDate>
  <CharactersWithSpaces>3598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2026-01-15T06:18:00Z</dcterms:created>
  <dc:creator>王萍</dc:creator>
  <cp:lastModifiedBy>王萍</cp:lastModifiedBy>
  <dcterms:modified xsi:type="dcterms:W3CDTF">2026-01-15T07:31:13Z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33B5B8AC66A04E5D9F19CEFC76C57152_13</vt:lpwstr>
  </property>
  <property fmtid="{D5CDD505-2E9C-101B-9397-08002B2CF9AE}" pid="4" name="KSOTemplateDocerSaveRecord">
    <vt:lpwstr>eyJoZGlkIjoiMzI4YWJhN2JkZTZiOGU4ZmJjZmY3MDMzYmUxZmQzNDIiLCJ1c2VySWQiOiI0OTI3MTg4NDUifQ==</vt:lpwstr>
  </property>
</Properties>
</file>